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9937" w14:textId="77777777" w:rsidR="00393639" w:rsidRPr="00393639" w:rsidRDefault="00393639" w:rsidP="00393639">
      <w:pPr>
        <w:shd w:val="clear" w:color="auto" w:fill="FFFFFF"/>
        <w:spacing w:before="600" w:after="300" w:line="540" w:lineRule="atLeast"/>
        <w:jc w:val="center"/>
        <w:outlineLvl w:val="0"/>
        <w:rPr>
          <w:rFonts w:ascii="Titillium Web SemiBold" w:eastAsia="Times New Roman" w:hAnsi="Titillium Web SemiBold" w:cs="Times New Roman"/>
          <w:color w:val="0C2C4E"/>
          <w:kern w:val="36"/>
          <w:sz w:val="54"/>
          <w:szCs w:val="54"/>
          <w:lang w:eastAsia="it-IT"/>
        </w:rPr>
      </w:pPr>
      <w:r w:rsidRPr="00393639">
        <w:rPr>
          <w:rFonts w:ascii="Titillium Web SemiBold" w:eastAsia="Times New Roman" w:hAnsi="Titillium Web SemiBold" w:cs="Times New Roman"/>
          <w:color w:val="0C2C4E"/>
          <w:kern w:val="36"/>
          <w:sz w:val="54"/>
          <w:szCs w:val="54"/>
          <w:lang w:eastAsia="it-IT"/>
        </w:rPr>
        <w:t>L.R. 23/99 - Riconoscimento di contributi per l'acquisto o utilizzo di ausili o strumenti tecnologicamente avanzati a favore delle persone con disabilità o con disturbi specifici dell'apprendimento (DSA)</w:t>
      </w:r>
    </w:p>
    <w:p w14:paraId="572CB24A" w14:textId="21E6CE53" w:rsidR="00393639" w:rsidRPr="00393639" w:rsidRDefault="00393639" w:rsidP="00393639">
      <w:pPr>
        <w:shd w:val="clear" w:color="auto" w:fill="FFFFFF"/>
        <w:spacing w:after="0" w:line="240" w:lineRule="auto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noProof/>
          <w:color w:val="29353D"/>
          <w:sz w:val="24"/>
          <w:szCs w:val="24"/>
          <w:lang w:eastAsia="it-IT"/>
        </w:rPr>
        <w:drawing>
          <wp:inline distT="0" distB="0" distL="0" distR="0" wp14:anchorId="258750C7" wp14:editId="7D438233">
            <wp:extent cx="5305425" cy="3305175"/>
            <wp:effectExtent l="0" t="0" r="9525" b="9525"/>
            <wp:docPr id="1" name="Immagine 1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09C85" w14:textId="77777777" w:rsidR="00393639" w:rsidRPr="00393639" w:rsidRDefault="00393639" w:rsidP="00393639">
      <w:pPr>
        <w:shd w:val="clear" w:color="auto" w:fill="FFFFFF"/>
        <w:spacing w:after="150" w:line="240" w:lineRule="auto"/>
        <w:jc w:val="center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b/>
          <w:bCs/>
          <w:color w:val="29353D"/>
          <w:sz w:val="24"/>
          <w:szCs w:val="24"/>
          <w:lang w:eastAsia="it-IT"/>
        </w:rPr>
        <w:t>RIFINANZIAMENTO E MODIFICHE</w:t>
      </w:r>
    </w:p>
    <w:p w14:paraId="404179C6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Regione Lombardia, con Decreto n. 348 del 15/01/2019 (che ha sostituito il </w:t>
      </w:r>
      <w:proofErr w:type="spell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D.d.s</w:t>
      </w:r>
      <w:proofErr w:type="spell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. n.19023 del 18/12/2018 e </w:t>
      </w:r>
      <w:proofErr w:type="spell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s.m.i.</w:t>
      </w:r>
      <w:proofErr w:type="spell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), ha approvato il bando per il riconoscimento di contributi per l’acquisto o utilizzo di ausili /strumenti tecnologicamente avanzati a favore di persone con disabilità o con Disturbi Specifici dell'Apprendimento (DSA).</w:t>
      </w:r>
    </w:p>
    <w:p w14:paraId="2AE98A81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Regione Lombardia, con Decreto n. 17867 del 21/12/2021, in attuazione della DGR nr. 5682 del 15/12/2021, ha disposto il rifinanziamento della presente misura, apportando alcune modifiche/integrazioni.</w:t>
      </w:r>
    </w:p>
    <w:p w14:paraId="5C734E14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lastRenderedPageBreak/>
        <w:t>L’acquisizione di ausili/strumenti tecnologicamente avanzati deve essere funzionale al raggiungimento/miglioramento:</w:t>
      </w:r>
    </w:p>
    <w:p w14:paraId="4E873F97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- dell’autonomia della persona, con particolare riferimento al miglioramento dell’ambiente domestico;</w:t>
      </w:r>
    </w:p>
    <w:p w14:paraId="359F5408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- delle potenzialità della persona in relazione alle sue possibilità di integrazione sociale e lavorativa;</w:t>
      </w:r>
    </w:p>
    <w:p w14:paraId="3C677805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- delle limitazioni funzionali, siano esse motorie, visive, uditive, intellettive, del linguaggio, nonché relative all’apprendimento.</w:t>
      </w:r>
    </w:p>
    <w:p w14:paraId="68742BBC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4BBEB5EB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b/>
          <w:bCs/>
          <w:color w:val="29353D"/>
          <w:sz w:val="24"/>
          <w:szCs w:val="24"/>
          <w:lang w:eastAsia="it-IT"/>
        </w:rPr>
        <w:t>Destinatari</w:t>
      </w:r>
    </w:p>
    <w:p w14:paraId="6E55E46A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Possono partecipare al presente bando i cittadini residenti in provincia di Bergamo che, al momento della presentazione della domanda, posseggono i seguenti requisiti:</w:t>
      </w:r>
    </w:p>
    <w:p w14:paraId="7028B3DC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minorenni o adulti con disabilità;</w:t>
      </w:r>
    </w:p>
    <w:p w14:paraId="6488FAC7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minorenni o giovani maggiorenni (entro il 25° anno di età) con Disturbo Specifico di Apprendimento (DSA) ai sensi della L.R. 4/2010;</w:t>
      </w:r>
    </w:p>
    <w:p w14:paraId="760987DF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con un ISEE in corso di validità inferiore o uguale a 30.000 euro;</w:t>
      </w:r>
    </w:p>
    <w:p w14:paraId="66AE5F36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· che non abbiano ricevuto il contributo per l’acquisizione di strumenti tecnologicamente avanzati, ai sensi della </w:t>
      </w:r>
      <w:proofErr w:type="spell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l.r</w:t>
      </w:r>
      <w:proofErr w:type="spell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. 23/1999, nei 5 anni precedenti la presentazione della domanda e nella stessa area, tranne nel caso in cui l’ausilio/strumento, anche se appartenente alla stessa area, sia diverso da quello per il quale era stato concesso il contributo. Per la deroga a questo vincolo, si rimanda allo specifico Avviso regionale.</w:t>
      </w:r>
    </w:p>
    <w:p w14:paraId="4A87755B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49ADFCA0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Si precisa che per la presentazione della nuova domanda deve essere trascorso almeno un anno dalla data di presentazione della domanda precedente per la quale si è ottenuto il contributo.</w:t>
      </w:r>
    </w:p>
    <w:p w14:paraId="32C1546D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Ogni possibile beneficiario può richiedere un solo ausilio/strumento per ogni domanda presentata, fatta eccezione per l’area informatica nella quale hardware e software specifici si associano in quanto sono considerati strumento unitario.</w:t>
      </w:r>
    </w:p>
    <w:p w14:paraId="3DD0AC52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096F8DA6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b/>
          <w:bCs/>
          <w:color w:val="29353D"/>
          <w:sz w:val="24"/>
          <w:szCs w:val="24"/>
          <w:lang w:eastAsia="it-IT"/>
        </w:rPr>
        <w:t>Caratteristiche della misura</w:t>
      </w:r>
    </w:p>
    <w:p w14:paraId="1799D433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La presente misura è finalizzata ad estendere le abilità e a migliorare la qualità di vita delle persone con disabilità o dei minorenni o giovani maggiorenni con Disturbi Specifici dell’Apprendimento (DSA) mediante un contributo economico relativo alle spese sostenute per l’acquisto (ovvero noleggio o leasing) di ausili o strumenti tecnologicamente avanzati, con </w:t>
      </w: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lastRenderedPageBreak/>
        <w:t xml:space="preserve">massimali di contribuzione diversificati per ognuna delle </w:t>
      </w:r>
      <w:proofErr w:type="gram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4</w:t>
      </w:r>
      <w:proofErr w:type="gram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 aree di intervento: domotica, mobilità, informatica e altri ausili.</w:t>
      </w:r>
    </w:p>
    <w:p w14:paraId="036E7987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4038F115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Il contributo economico è riconosciuto nella misura del 70% della spesa ammissibile (spesa non inferiore a € 300,00) e comunque non superiore a € 16.000,00, entro i seguenti limiti:</w:t>
      </w:r>
    </w:p>
    <w:p w14:paraId="63857F94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personal computer da tavolo comprensivo di software specifici, contributo massimo erogabile, comprensivo di software di base e di tutte le periferiche, € 400,00;</w:t>
      </w:r>
    </w:p>
    <w:p w14:paraId="137C3F83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personal computer portatile o tablet comprensivi di software specifici, contributo massimo erogabile, comprensivo di software di base e di tutte le periferiche, € 600,00.</w:t>
      </w:r>
    </w:p>
    <w:p w14:paraId="209D49E7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“personal computer da tavolo, portatile o tablet, possono essere richiesti anche senza software specifico, soltanto nel caso in cui il contributo sia destinato a una persona disabile che, durante il periodo di emergenza COVID-19, non potendo frequentare i Centri diurni sociosanitari o sociali (quali i CDD, i CSE e gli SFA) ovvero essendo solo supportata da remoto nei percorsi di autonomia di cui al decreto n. 19486/2018 e </w:t>
      </w:r>
      <w:proofErr w:type="spell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s.m.i.</w:t>
      </w:r>
      <w:proofErr w:type="spell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, necessita solo della strumentazione di base”. In tal caso sarà necessario compilare il modulo di autocertificazione, allegato al presente avviso, da corredare alla domanda presentata nella piattaforma on-line regionale.</w:t>
      </w:r>
    </w:p>
    <w:p w14:paraId="4D28D711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Solo software specifico, qualora il richiedente sia già in possesso del Personal Computer da tavolo/portatile/tablet, contributo massimo erogabile € 400,00;</w:t>
      </w:r>
    </w:p>
    <w:p w14:paraId="32CF9133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protesi acustiche riconducibili: contributo massimo erogabile € 2.000,00;</w:t>
      </w:r>
    </w:p>
    <w:p w14:paraId="60022C30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· adattamento dell’autoveicolo per il trasporto della persona con disabilità oppure modifica degli strumenti di guida (beneficiari dell’art. 27 della Legge 104/92), contributo massimo erogabile € 5.000,00.</w:t>
      </w:r>
    </w:p>
    <w:p w14:paraId="4E662566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3FB58C7A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b/>
          <w:bCs/>
          <w:color w:val="29353D"/>
          <w:sz w:val="24"/>
          <w:szCs w:val="24"/>
          <w:lang w:eastAsia="it-IT"/>
        </w:rPr>
        <w:t>Come partecipare</w:t>
      </w:r>
    </w:p>
    <w:p w14:paraId="32DAF6AB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La domanda di partecipazione deve essere presentata esclusivamente online sulla piattaforma informatica Bandi online all’indirizzo www.bandi.servizirl.it</w:t>
      </w:r>
    </w:p>
    <w:p w14:paraId="1535C980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A partire dalle ore 12.00 del </w:t>
      </w:r>
      <w:proofErr w:type="gram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1 Febbraio</w:t>
      </w:r>
      <w:proofErr w:type="gram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 2022, entreranno in vigore le integrazioni e le nuove modalità di accesso, adottate con il presente provvedimento. La domanda deve avere in </w:t>
      </w:r>
      <w:proofErr w:type="gram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allegato :</w:t>
      </w:r>
      <w:proofErr w:type="gramEnd"/>
    </w:p>
    <w:p w14:paraId="4B800300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1. il preventivo o la fattura o la ricevuta fiscale o lo scontrino “parlante” (con l’indicazione del codice fiscale del richiedente/beneficiario oltre alle tipologie di prodotti acquistati) della spesa sostenuta, con data uguale o successiva al 01/01/2018, ovvero, in caso di ausili o strumenti particolarmente costosi acquistati tramite rateizzazione, copia del contratto di finanziamento rilasciato dalla ditta fornitrice o dalla finanziaria, da caricare elettronicamente sul sistema informatico. Si esclude ogni altro tipo di documento contabile.</w:t>
      </w:r>
    </w:p>
    <w:p w14:paraId="08FFE621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lastRenderedPageBreak/>
        <w:t>2. il certificato del medico specialista ovvero del medico proscrittore attestante la conformità dell’ausilio prescritto alla maggiorazione della funzionalità da parte del minorenne o adulto con disabilità ovvero del minorenne o giovane maggiorenne con DSA.</w:t>
      </w:r>
    </w:p>
    <w:p w14:paraId="5C2C2C45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25AB3A52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proofErr w:type="gram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La presentazione delle integrazioni documentali e/o comprovanti la spesa sostenuta,</w:t>
      </w:r>
      <w:proofErr w:type="gram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 deve avvenire entro e non oltre 12 mesi dalla data di presentazione della domanda, a pena di esclusione.</w:t>
      </w:r>
    </w:p>
    <w:p w14:paraId="34E91ACE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Per l’eccezione relativa a tale vincolo, si rimanda allo specifico Avviso Regionale.</w:t>
      </w:r>
    </w:p>
    <w:p w14:paraId="6DB62175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La tipologia di procedura utilizzata per l’assegnazione delle risorse è valutativa a sportello: le domande saranno valutate in ordine di presentazione, sulla base dei requisiti previsti per i beneficiari, fino ad esaurimento delle risorse.</w:t>
      </w:r>
    </w:p>
    <w:p w14:paraId="7F2E706C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ATS deve valutare la domanda entro 30 giorni dalla data di presentazione della stessa.</w:t>
      </w:r>
    </w:p>
    <w:p w14:paraId="339BE73B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7F028FFB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b/>
          <w:bCs/>
          <w:color w:val="29353D"/>
          <w:sz w:val="24"/>
          <w:szCs w:val="24"/>
          <w:lang w:eastAsia="it-IT"/>
        </w:rPr>
        <w:t>Ispezioni e controlli</w:t>
      </w:r>
    </w:p>
    <w:p w14:paraId="205A9050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ATS Bergamo effettuerà controlli sui requisiti autocertificati e potrà richiedere ai beneficiari chiarimenti/integrazioni utili a valutare l’efficacia dell’intervento. In tal caso i termini dell’istruttoria verranno sospesi. I soggetti beneficiari saranno tenuti a rispondere nei termini e nei modi di volta in volta indicati dagli uffici ATS e/o regionali.</w:t>
      </w:r>
    </w:p>
    <w:p w14:paraId="4D5F17EA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Informazioni e contatti</w:t>
      </w:r>
    </w:p>
    <w:p w14:paraId="54255774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Per l'assistenza tecnica sulle procedure informatizzate è possibile contattare il call center al n. verde 800.131.151, attivo dal lunedì al sabato, dalle ore 8:00 alle ore 20:00 o scrivere a bandi@regione.lombardia.it.</w:t>
      </w:r>
    </w:p>
    <w:p w14:paraId="3798E91D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0033CD90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Le informazioni relative al bando potranno essere richieste a: ausililegge23@regione.lombardia.it</w:t>
      </w:r>
    </w:p>
    <w:p w14:paraId="5E61C07D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proofErr w:type="gramStart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E’</w:t>
      </w:r>
      <w:proofErr w:type="gramEnd"/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 xml:space="preserve"> inoltre possibile scrivere all'indirizzo mail servizio.disabili@ats-bg.it o contattare il numero ATS dedicato 035/385.514, attivo dal lunedì al venerdì, dalle ore 09:00 alle ore 13:00.</w:t>
      </w:r>
    </w:p>
    <w:p w14:paraId="67225792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 </w:t>
      </w:r>
    </w:p>
    <w:p w14:paraId="2B86744D" w14:textId="77777777" w:rsidR="00393639" w:rsidRPr="00393639" w:rsidRDefault="00393639" w:rsidP="00393639">
      <w:pPr>
        <w:shd w:val="clear" w:color="auto" w:fill="FFFFFF"/>
        <w:spacing w:after="150" w:line="240" w:lineRule="auto"/>
        <w:jc w:val="both"/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</w:pPr>
      <w:r w:rsidRPr="00393639">
        <w:rPr>
          <w:rFonts w:ascii="Titillium Web" w:eastAsia="Times New Roman" w:hAnsi="Titillium Web" w:cs="Times New Roman"/>
          <w:color w:val="29353D"/>
          <w:sz w:val="24"/>
          <w:szCs w:val="24"/>
          <w:lang w:eastAsia="it-IT"/>
        </w:rPr>
        <w:t>Si rinvia al testo integrale del bando regionale per tutti i contenuti completi e vincolanti.</w:t>
      </w:r>
    </w:p>
    <w:p w14:paraId="11B2A640" w14:textId="77777777" w:rsidR="00773AB9" w:rsidRDefault="00773AB9"/>
    <w:sectPr w:rsidR="00773AB9" w:rsidSect="005B4AA0">
      <w:pgSz w:w="11907" w:h="16840" w:code="9"/>
      <w:pgMar w:top="1087" w:right="1134" w:bottom="815" w:left="1134" w:header="720" w:footer="32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639"/>
    <w:rsid w:val="00393639"/>
    <w:rsid w:val="005B4AA0"/>
    <w:rsid w:val="007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EFAE3"/>
  <w15:chartTrackingRefBased/>
  <w15:docId w15:val="{8B09487A-35EF-4B52-A12D-0CC6612E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936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363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93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93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5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1110</Words>
  <Characters>6328</Characters>
  <Application>Microsoft Office Word</Application>
  <DocSecurity>0</DocSecurity>
  <Lines>52</Lines>
  <Paragraphs>14</Paragraphs>
  <ScaleCrop>false</ScaleCrop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Mensa Scolastica</dc:creator>
  <cp:keywords/>
  <dc:description/>
  <cp:lastModifiedBy>Mensa Scolastica</cp:lastModifiedBy>
  <cp:revision>1</cp:revision>
  <dcterms:created xsi:type="dcterms:W3CDTF">2022-02-15T10:34:00Z</dcterms:created>
  <dcterms:modified xsi:type="dcterms:W3CDTF">2022-02-15T10:36:00Z</dcterms:modified>
</cp:coreProperties>
</file>