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8326" w14:textId="1E14BBE1" w:rsidR="004A15C5" w:rsidRPr="006B6D07" w:rsidRDefault="008415E8" w:rsidP="00C06451">
      <w:pPr>
        <w:jc w:val="center"/>
        <w:rPr>
          <w:rFonts w:ascii="Arial" w:hAnsi="Arial" w:cs="Arial"/>
          <w:color w:val="1C2024"/>
          <w:sz w:val="28"/>
          <w:szCs w:val="28"/>
          <w:shd w:val="clear" w:color="auto" w:fill="FFFFFF"/>
        </w:rPr>
      </w:pPr>
      <w:r>
        <w:rPr>
          <w:rFonts w:ascii="Arial" w:hAnsi="Arial" w:cs="Arial"/>
          <w:b/>
          <w:bCs/>
          <w:sz w:val="28"/>
          <w:szCs w:val="28"/>
        </w:rPr>
        <w:t>PROMEMORIA</w:t>
      </w:r>
      <w:r w:rsidR="00C06451" w:rsidRPr="006B6D07">
        <w:rPr>
          <w:rFonts w:ascii="Arial" w:hAnsi="Arial" w:cs="Arial"/>
          <w:b/>
          <w:bCs/>
          <w:sz w:val="28"/>
          <w:szCs w:val="28"/>
        </w:rPr>
        <w:t xml:space="preserve"> SCADENZE IMU E TARI 202</w:t>
      </w:r>
      <w:r w:rsidR="00553D0E" w:rsidRPr="006B6D07">
        <w:rPr>
          <w:rFonts w:ascii="Arial" w:hAnsi="Arial" w:cs="Arial"/>
          <w:b/>
          <w:bCs/>
          <w:sz w:val="28"/>
          <w:szCs w:val="28"/>
        </w:rPr>
        <w:t>2</w:t>
      </w:r>
    </w:p>
    <w:p w14:paraId="744531B3" w14:textId="029CD87A" w:rsidR="004A15C5" w:rsidRPr="00553D0E" w:rsidRDefault="00F5551B" w:rsidP="008635BB">
      <w:pPr>
        <w:jc w:val="both"/>
        <w:rPr>
          <w:rFonts w:ascii="Arial" w:hAnsi="Arial" w:cs="Arial"/>
          <w:color w:val="1C2024"/>
          <w:sz w:val="24"/>
          <w:szCs w:val="24"/>
          <w:shd w:val="clear" w:color="auto" w:fill="FFFFFF"/>
        </w:rPr>
      </w:pPr>
      <w:r w:rsidRPr="00553D0E">
        <w:rPr>
          <w:rFonts w:ascii="Arial" w:hAnsi="Arial" w:cs="Arial"/>
          <w:color w:val="1C2024"/>
          <w:sz w:val="24"/>
          <w:szCs w:val="24"/>
          <w:shd w:val="clear" w:color="auto" w:fill="FFFFFF"/>
        </w:rPr>
        <w:t xml:space="preserve">Si </w:t>
      </w:r>
      <w:r w:rsidR="0072449D" w:rsidRPr="00553D0E">
        <w:rPr>
          <w:rFonts w:ascii="Arial" w:hAnsi="Arial" w:cs="Arial"/>
          <w:color w:val="1C2024"/>
          <w:sz w:val="24"/>
          <w:szCs w:val="24"/>
          <w:shd w:val="clear" w:color="auto" w:fill="FFFFFF"/>
        </w:rPr>
        <w:t>ricorda a</w:t>
      </w:r>
      <w:r w:rsidRPr="00553D0E">
        <w:rPr>
          <w:rFonts w:ascii="Arial" w:hAnsi="Arial" w:cs="Arial"/>
          <w:color w:val="1C2024"/>
          <w:sz w:val="24"/>
          <w:szCs w:val="24"/>
          <w:shd w:val="clear" w:color="auto" w:fill="FFFFFF"/>
        </w:rPr>
        <w:t xml:space="preserve">gli utenti </w:t>
      </w:r>
      <w:r w:rsidR="0072449D" w:rsidRPr="00553D0E">
        <w:rPr>
          <w:rFonts w:ascii="Arial" w:hAnsi="Arial" w:cs="Arial"/>
          <w:color w:val="1C2024"/>
          <w:sz w:val="24"/>
          <w:szCs w:val="24"/>
          <w:shd w:val="clear" w:color="auto" w:fill="FFFFFF"/>
        </w:rPr>
        <w:t>che</w:t>
      </w:r>
      <w:r w:rsidR="00243DAD" w:rsidRPr="00553D0E">
        <w:rPr>
          <w:rFonts w:ascii="Arial" w:hAnsi="Arial" w:cs="Arial"/>
          <w:color w:val="1C2024"/>
          <w:sz w:val="24"/>
          <w:szCs w:val="24"/>
          <w:shd w:val="clear" w:color="auto" w:fill="FFFFFF"/>
        </w:rPr>
        <w:t xml:space="preserve"> il </w:t>
      </w:r>
      <w:r w:rsidR="00243DAD" w:rsidRPr="00553D0E">
        <w:rPr>
          <w:rFonts w:ascii="Arial" w:hAnsi="Arial" w:cs="Arial"/>
          <w:b/>
          <w:bCs/>
          <w:color w:val="1C2024"/>
          <w:sz w:val="24"/>
          <w:szCs w:val="24"/>
          <w:shd w:val="clear" w:color="auto" w:fill="FFFFFF"/>
        </w:rPr>
        <w:t>16 dicembre</w:t>
      </w:r>
      <w:r w:rsidR="00243DAD" w:rsidRPr="00553D0E">
        <w:rPr>
          <w:rFonts w:ascii="Arial" w:hAnsi="Arial" w:cs="Arial"/>
          <w:color w:val="1C2024"/>
          <w:sz w:val="24"/>
          <w:szCs w:val="24"/>
          <w:shd w:val="clear" w:color="auto" w:fill="FFFFFF"/>
        </w:rPr>
        <w:t xml:space="preserve"> </w:t>
      </w:r>
      <w:r w:rsidR="00553D0E" w:rsidRPr="00553D0E">
        <w:rPr>
          <w:rFonts w:ascii="Arial" w:hAnsi="Arial" w:cs="Arial"/>
          <w:color w:val="1C2024"/>
          <w:sz w:val="24"/>
          <w:szCs w:val="24"/>
          <w:shd w:val="clear" w:color="auto" w:fill="FFFFFF"/>
        </w:rPr>
        <w:t xml:space="preserve">scade il termine per il </w:t>
      </w:r>
      <w:r w:rsidR="00243DAD" w:rsidRPr="00553D0E">
        <w:rPr>
          <w:rFonts w:ascii="Arial" w:hAnsi="Arial" w:cs="Arial"/>
          <w:color w:val="1C2024"/>
          <w:sz w:val="24"/>
          <w:szCs w:val="24"/>
          <w:shd w:val="clear" w:color="auto" w:fill="FFFFFF"/>
        </w:rPr>
        <w:t>pagamento del saldo dei tributi</w:t>
      </w:r>
      <w:r w:rsidR="00395654" w:rsidRPr="00553D0E">
        <w:rPr>
          <w:rFonts w:ascii="Arial" w:hAnsi="Arial" w:cs="Arial"/>
          <w:color w:val="1C2024"/>
          <w:sz w:val="24"/>
          <w:szCs w:val="24"/>
          <w:shd w:val="clear" w:color="auto" w:fill="FFFFFF"/>
        </w:rPr>
        <w:t xml:space="preserve"> </w:t>
      </w:r>
      <w:r w:rsidR="00243DAD" w:rsidRPr="00553D0E">
        <w:rPr>
          <w:rFonts w:ascii="Arial" w:hAnsi="Arial" w:cs="Arial"/>
          <w:b/>
          <w:bCs/>
          <w:color w:val="1C2024"/>
          <w:sz w:val="24"/>
          <w:szCs w:val="24"/>
          <w:shd w:val="clear" w:color="auto" w:fill="FFFFFF"/>
        </w:rPr>
        <w:t>IMU</w:t>
      </w:r>
      <w:r w:rsidR="00395654" w:rsidRPr="00553D0E">
        <w:rPr>
          <w:rFonts w:ascii="Arial" w:hAnsi="Arial" w:cs="Arial"/>
          <w:color w:val="1C2024"/>
          <w:sz w:val="24"/>
          <w:szCs w:val="24"/>
          <w:shd w:val="clear" w:color="auto" w:fill="FFFFFF"/>
        </w:rPr>
        <w:t xml:space="preserve"> e </w:t>
      </w:r>
      <w:r w:rsidR="00395654" w:rsidRPr="00553D0E">
        <w:rPr>
          <w:rFonts w:ascii="Arial" w:hAnsi="Arial" w:cs="Arial"/>
          <w:b/>
          <w:bCs/>
          <w:color w:val="1C2024"/>
          <w:sz w:val="24"/>
          <w:szCs w:val="24"/>
          <w:shd w:val="clear" w:color="auto" w:fill="FFFFFF"/>
        </w:rPr>
        <w:t>TARI</w:t>
      </w:r>
      <w:r w:rsidR="00243DAD" w:rsidRPr="00553D0E">
        <w:rPr>
          <w:rFonts w:ascii="Arial" w:hAnsi="Arial" w:cs="Arial"/>
          <w:color w:val="1C2024"/>
          <w:sz w:val="24"/>
          <w:szCs w:val="24"/>
          <w:shd w:val="clear" w:color="auto" w:fill="FFFFFF"/>
        </w:rPr>
        <w:t>. A tal proposito vi rammentiamo che</w:t>
      </w:r>
      <w:r w:rsidR="00C06451" w:rsidRPr="00553D0E">
        <w:rPr>
          <w:rFonts w:ascii="Arial" w:hAnsi="Arial" w:cs="Arial"/>
          <w:color w:val="1C2024"/>
          <w:sz w:val="24"/>
          <w:szCs w:val="24"/>
          <w:shd w:val="clear" w:color="auto" w:fill="FFFFFF"/>
        </w:rPr>
        <w:t xml:space="preserve"> ne</w:t>
      </w:r>
      <w:r w:rsidR="00553D0E" w:rsidRPr="00553D0E">
        <w:rPr>
          <w:rFonts w:ascii="Arial" w:hAnsi="Arial" w:cs="Arial"/>
          <w:color w:val="1C2024"/>
          <w:sz w:val="24"/>
          <w:szCs w:val="24"/>
          <w:shd w:val="clear" w:color="auto" w:fill="FFFFFF"/>
        </w:rPr>
        <w:t xml:space="preserve">ll’avviso recapitato </w:t>
      </w:r>
      <w:r w:rsidR="00C06451" w:rsidRPr="00553D0E">
        <w:rPr>
          <w:rFonts w:ascii="Arial" w:hAnsi="Arial" w:cs="Arial"/>
          <w:color w:val="1C2024"/>
          <w:sz w:val="24"/>
          <w:szCs w:val="24"/>
          <w:shd w:val="clear" w:color="auto" w:fill="FFFFFF"/>
        </w:rPr>
        <w:t xml:space="preserve">nei mesi precedenti è presente anche il modello F24 </w:t>
      </w:r>
      <w:r w:rsidR="00395654" w:rsidRPr="00553D0E">
        <w:rPr>
          <w:rFonts w:ascii="Arial" w:hAnsi="Arial" w:cs="Arial"/>
          <w:color w:val="1C2024"/>
          <w:sz w:val="24"/>
          <w:szCs w:val="24"/>
          <w:shd w:val="clear" w:color="auto" w:fill="FFFFFF"/>
        </w:rPr>
        <w:t>valido</w:t>
      </w:r>
      <w:r w:rsidR="00243DAD" w:rsidRPr="00553D0E">
        <w:rPr>
          <w:rFonts w:ascii="Arial" w:hAnsi="Arial" w:cs="Arial"/>
          <w:color w:val="1C2024"/>
          <w:sz w:val="24"/>
          <w:szCs w:val="24"/>
          <w:shd w:val="clear" w:color="auto" w:fill="FFFFFF"/>
        </w:rPr>
        <w:t xml:space="preserve"> </w:t>
      </w:r>
      <w:r w:rsidR="00C06451" w:rsidRPr="00553D0E">
        <w:rPr>
          <w:rFonts w:ascii="Arial" w:hAnsi="Arial" w:cs="Arial"/>
          <w:color w:val="1C2024"/>
          <w:sz w:val="24"/>
          <w:szCs w:val="24"/>
          <w:shd w:val="clear" w:color="auto" w:fill="FFFFFF"/>
        </w:rPr>
        <w:t>per il pagamento</w:t>
      </w:r>
      <w:r w:rsidR="00553D0E" w:rsidRPr="00553D0E">
        <w:rPr>
          <w:rFonts w:ascii="Arial" w:hAnsi="Arial" w:cs="Arial"/>
          <w:color w:val="1C2024"/>
          <w:sz w:val="24"/>
          <w:szCs w:val="24"/>
          <w:shd w:val="clear" w:color="auto" w:fill="FFFFFF"/>
        </w:rPr>
        <w:t xml:space="preserve"> del saldo</w:t>
      </w:r>
      <w:r w:rsidR="00C06451" w:rsidRPr="00553D0E">
        <w:rPr>
          <w:rFonts w:ascii="Arial" w:hAnsi="Arial" w:cs="Arial"/>
          <w:color w:val="1C2024"/>
          <w:sz w:val="24"/>
          <w:szCs w:val="24"/>
          <w:shd w:val="clear" w:color="auto" w:fill="FFFFFF"/>
        </w:rPr>
        <w:t xml:space="preserve">. </w:t>
      </w:r>
    </w:p>
    <w:p w14:paraId="65509006" w14:textId="77777777" w:rsidR="00A91193" w:rsidRDefault="00A91193" w:rsidP="00553D0E">
      <w:pPr>
        <w:ind w:left="142"/>
        <w:rPr>
          <w:rFonts w:ascii="Arial" w:hAnsi="Arial" w:cs="Arial"/>
          <w:b/>
          <w:bCs/>
          <w:color w:val="1C2024"/>
          <w:sz w:val="24"/>
          <w:szCs w:val="24"/>
          <w:u w:val="single"/>
          <w:shd w:val="clear" w:color="auto" w:fill="FFFFFF"/>
        </w:rPr>
      </w:pPr>
    </w:p>
    <w:p w14:paraId="126D7107" w14:textId="6F95EA75" w:rsidR="00243DAD" w:rsidRPr="00553D0E" w:rsidRDefault="00033B37" w:rsidP="00553D0E">
      <w:pPr>
        <w:ind w:left="142"/>
        <w:rPr>
          <w:rFonts w:ascii="Arial" w:hAnsi="Arial" w:cs="Arial"/>
          <w:b/>
          <w:bCs/>
          <w:color w:val="1C2024"/>
          <w:sz w:val="24"/>
          <w:szCs w:val="24"/>
          <w:u w:val="single"/>
          <w:shd w:val="clear" w:color="auto" w:fill="FFFFFF"/>
        </w:rPr>
      </w:pPr>
      <w:r w:rsidRPr="00553D0E">
        <w:rPr>
          <w:rFonts w:ascii="Arial" w:hAnsi="Arial" w:cs="Arial"/>
          <w:b/>
          <w:bCs/>
          <w:color w:val="1C2024"/>
          <w:sz w:val="24"/>
          <w:szCs w:val="24"/>
          <w:u w:val="single"/>
          <w:shd w:val="clear" w:color="auto" w:fill="FFFFFF"/>
        </w:rPr>
        <w:t>Scadenz</w:t>
      </w:r>
      <w:r w:rsidR="00275A33" w:rsidRPr="00553D0E">
        <w:rPr>
          <w:rFonts w:ascii="Arial" w:hAnsi="Arial" w:cs="Arial"/>
          <w:b/>
          <w:bCs/>
          <w:color w:val="1C2024"/>
          <w:sz w:val="24"/>
          <w:szCs w:val="24"/>
          <w:u w:val="single"/>
          <w:shd w:val="clear" w:color="auto" w:fill="FFFFFF"/>
        </w:rPr>
        <w:t>e</w:t>
      </w:r>
      <w:r w:rsidRPr="00553D0E">
        <w:rPr>
          <w:rFonts w:ascii="Arial" w:hAnsi="Arial" w:cs="Arial"/>
          <w:b/>
          <w:bCs/>
          <w:color w:val="1C2024"/>
          <w:sz w:val="24"/>
          <w:szCs w:val="24"/>
          <w:u w:val="single"/>
          <w:shd w:val="clear" w:color="auto" w:fill="FFFFFF"/>
        </w:rPr>
        <w:t xml:space="preserve"> pagamento </w:t>
      </w:r>
      <w:r w:rsidR="00243DAD" w:rsidRPr="00553D0E">
        <w:rPr>
          <w:rFonts w:ascii="Arial" w:hAnsi="Arial" w:cs="Arial"/>
          <w:b/>
          <w:bCs/>
          <w:color w:val="1C2024"/>
          <w:sz w:val="24"/>
          <w:szCs w:val="24"/>
          <w:u w:val="single"/>
          <w:shd w:val="clear" w:color="auto" w:fill="FFFFFF"/>
        </w:rPr>
        <w:t xml:space="preserve">SALDO </w:t>
      </w:r>
      <w:r w:rsidRPr="00553D0E">
        <w:rPr>
          <w:rFonts w:ascii="Arial" w:hAnsi="Arial" w:cs="Arial"/>
          <w:b/>
          <w:bCs/>
          <w:color w:val="1C2024"/>
          <w:sz w:val="24"/>
          <w:szCs w:val="24"/>
          <w:u w:val="single"/>
          <w:shd w:val="clear" w:color="auto" w:fill="FFFFFF"/>
        </w:rPr>
        <w:t>IMU</w:t>
      </w:r>
      <w:r w:rsidR="00275A33" w:rsidRPr="00553D0E">
        <w:rPr>
          <w:rFonts w:ascii="Arial" w:hAnsi="Arial" w:cs="Arial"/>
          <w:b/>
          <w:bCs/>
          <w:color w:val="1C2024"/>
          <w:sz w:val="24"/>
          <w:szCs w:val="24"/>
          <w:u w:val="single"/>
          <w:shd w:val="clear" w:color="auto" w:fill="FFFFFF"/>
        </w:rPr>
        <w:t>:</w:t>
      </w:r>
      <w:r w:rsidR="00243DAD" w:rsidRPr="00553D0E">
        <w:rPr>
          <w:rFonts w:ascii="Arial" w:hAnsi="Arial" w:cs="Arial"/>
          <w:b/>
          <w:bCs/>
          <w:color w:val="1C2024"/>
          <w:sz w:val="24"/>
          <w:szCs w:val="24"/>
          <w:shd w:val="clear" w:color="auto" w:fill="FFFFFF"/>
        </w:rPr>
        <w:t xml:space="preserve"> </w:t>
      </w:r>
      <w:r w:rsidR="00243DAD" w:rsidRPr="00553D0E">
        <w:rPr>
          <w:rFonts w:ascii="Arial" w:hAnsi="Arial" w:cs="Arial"/>
          <w:b/>
          <w:bCs/>
          <w:color w:val="1C2024"/>
          <w:sz w:val="24"/>
          <w:szCs w:val="24"/>
          <w:shd w:val="clear" w:color="auto" w:fill="FFFFFF"/>
        </w:rPr>
        <w:tab/>
      </w:r>
      <w:r w:rsidR="00243DAD" w:rsidRPr="00553D0E">
        <w:rPr>
          <w:rFonts w:ascii="Arial" w:hAnsi="Arial" w:cs="Arial"/>
          <w:b/>
          <w:bCs/>
          <w:color w:val="1C2024"/>
          <w:sz w:val="24"/>
          <w:szCs w:val="24"/>
          <w:shd w:val="clear" w:color="auto" w:fill="FFFFFF"/>
        </w:rPr>
        <w:tab/>
      </w:r>
      <w:r w:rsidR="00553D0E">
        <w:rPr>
          <w:rFonts w:ascii="Arial" w:hAnsi="Arial" w:cs="Arial"/>
          <w:b/>
          <w:bCs/>
          <w:color w:val="1C2024"/>
          <w:sz w:val="24"/>
          <w:szCs w:val="24"/>
          <w:shd w:val="clear" w:color="auto" w:fill="FFFFFF"/>
        </w:rPr>
        <w:t xml:space="preserve">         </w:t>
      </w:r>
      <w:r w:rsidR="00243DAD" w:rsidRPr="00553D0E">
        <w:rPr>
          <w:rFonts w:ascii="Arial" w:hAnsi="Arial" w:cs="Arial"/>
          <w:b/>
          <w:bCs/>
          <w:color w:val="1C2024"/>
          <w:sz w:val="24"/>
          <w:szCs w:val="24"/>
          <w:u w:val="single"/>
          <w:shd w:val="clear" w:color="auto" w:fill="FFFFFF"/>
        </w:rPr>
        <w:t>Scadenze pagamento SALDO TARI:</w:t>
      </w:r>
    </w:p>
    <w:p w14:paraId="39C2E4DC" w14:textId="08BC1EC0" w:rsidR="00275A33" w:rsidRPr="00553D0E" w:rsidRDefault="00243DAD" w:rsidP="008635BB">
      <w:pPr>
        <w:rPr>
          <w:rFonts w:ascii="Arial" w:hAnsi="Arial" w:cs="Arial"/>
          <w:b/>
          <w:bCs/>
          <w:color w:val="FF0000"/>
          <w:sz w:val="24"/>
          <w:szCs w:val="24"/>
          <w:shd w:val="clear" w:color="auto" w:fill="FFFFFF"/>
        </w:rPr>
      </w:pPr>
      <w:r w:rsidRPr="00553D0E">
        <w:rPr>
          <w:rFonts w:ascii="Arial" w:hAnsi="Arial" w:cs="Arial"/>
          <w:b/>
          <w:bCs/>
          <w:color w:val="FF0000"/>
          <w:sz w:val="24"/>
          <w:szCs w:val="24"/>
          <w:shd w:val="clear" w:color="auto" w:fill="FFFFFF"/>
        </w:rPr>
        <w:t xml:space="preserve">       </w:t>
      </w:r>
      <w:r w:rsidR="00395654" w:rsidRPr="00553D0E">
        <w:rPr>
          <w:rFonts w:ascii="Arial" w:hAnsi="Arial" w:cs="Arial"/>
          <w:b/>
          <w:bCs/>
          <w:color w:val="FF0000"/>
          <w:sz w:val="24"/>
          <w:szCs w:val="24"/>
          <w:shd w:val="clear" w:color="auto" w:fill="FFFFFF"/>
        </w:rPr>
        <w:tab/>
      </w:r>
      <w:r w:rsidR="00553D0E">
        <w:rPr>
          <w:rFonts w:ascii="Arial" w:hAnsi="Arial" w:cs="Arial"/>
          <w:b/>
          <w:bCs/>
          <w:color w:val="FF0000"/>
          <w:sz w:val="24"/>
          <w:szCs w:val="24"/>
          <w:shd w:val="clear" w:color="auto" w:fill="FFFFFF"/>
        </w:rPr>
        <w:t xml:space="preserve">   </w:t>
      </w:r>
      <w:r w:rsidR="00395654" w:rsidRPr="00553D0E">
        <w:rPr>
          <w:rFonts w:ascii="Arial" w:hAnsi="Arial" w:cs="Arial"/>
          <w:b/>
          <w:bCs/>
          <w:color w:val="FF0000"/>
          <w:sz w:val="24"/>
          <w:szCs w:val="24"/>
          <w:shd w:val="clear" w:color="auto" w:fill="FFFFFF"/>
        </w:rPr>
        <w:t xml:space="preserve">   </w:t>
      </w:r>
      <w:r w:rsidRPr="00553D0E">
        <w:rPr>
          <w:rFonts w:ascii="Arial" w:hAnsi="Arial" w:cs="Arial"/>
          <w:b/>
          <w:bCs/>
          <w:color w:val="FF0000"/>
          <w:sz w:val="24"/>
          <w:szCs w:val="24"/>
          <w:shd w:val="clear" w:color="auto" w:fill="FFFFFF"/>
        </w:rPr>
        <w:t>16 dicembre 202</w:t>
      </w:r>
      <w:r w:rsidR="00553D0E" w:rsidRPr="00553D0E">
        <w:rPr>
          <w:rFonts w:ascii="Arial" w:hAnsi="Arial" w:cs="Arial"/>
          <w:b/>
          <w:bCs/>
          <w:color w:val="FF0000"/>
          <w:sz w:val="24"/>
          <w:szCs w:val="24"/>
          <w:shd w:val="clear" w:color="auto" w:fill="FFFFFF"/>
        </w:rPr>
        <w:t>2</w:t>
      </w:r>
      <w:r w:rsidR="00553D0E" w:rsidRPr="00553D0E">
        <w:rPr>
          <w:rFonts w:ascii="Arial" w:hAnsi="Arial" w:cs="Arial"/>
          <w:b/>
          <w:bCs/>
          <w:color w:val="FF0000"/>
          <w:sz w:val="24"/>
          <w:szCs w:val="24"/>
          <w:shd w:val="clear" w:color="auto" w:fill="FFFFFF"/>
        </w:rPr>
        <w:tab/>
      </w:r>
      <w:r w:rsidR="00553D0E" w:rsidRPr="00553D0E">
        <w:rPr>
          <w:rFonts w:ascii="Arial" w:hAnsi="Arial" w:cs="Arial"/>
          <w:b/>
          <w:bCs/>
          <w:color w:val="FF0000"/>
          <w:sz w:val="24"/>
          <w:szCs w:val="24"/>
          <w:shd w:val="clear" w:color="auto" w:fill="FFFFFF"/>
        </w:rPr>
        <w:tab/>
      </w:r>
      <w:r w:rsidR="00553D0E" w:rsidRPr="00553D0E">
        <w:rPr>
          <w:rFonts w:ascii="Arial" w:hAnsi="Arial" w:cs="Arial"/>
          <w:b/>
          <w:bCs/>
          <w:color w:val="FF0000"/>
          <w:sz w:val="24"/>
          <w:szCs w:val="24"/>
          <w:shd w:val="clear" w:color="auto" w:fill="FFFFFF"/>
        </w:rPr>
        <w:tab/>
      </w:r>
      <w:r w:rsidR="00395654" w:rsidRPr="00553D0E">
        <w:rPr>
          <w:rFonts w:ascii="Arial" w:hAnsi="Arial" w:cs="Arial"/>
          <w:b/>
          <w:bCs/>
          <w:color w:val="FF0000"/>
          <w:sz w:val="24"/>
          <w:szCs w:val="24"/>
          <w:shd w:val="clear" w:color="auto" w:fill="FFFFFF"/>
        </w:rPr>
        <w:tab/>
      </w:r>
      <w:r w:rsidRPr="00553D0E">
        <w:rPr>
          <w:rFonts w:ascii="Arial" w:hAnsi="Arial" w:cs="Arial"/>
          <w:b/>
          <w:bCs/>
          <w:color w:val="FF0000"/>
          <w:sz w:val="24"/>
          <w:szCs w:val="24"/>
          <w:shd w:val="clear" w:color="auto" w:fill="FFFFFF"/>
        </w:rPr>
        <w:t xml:space="preserve">              </w:t>
      </w:r>
      <w:r w:rsidR="00275A33" w:rsidRPr="00553D0E">
        <w:rPr>
          <w:rFonts w:ascii="Arial" w:hAnsi="Arial" w:cs="Arial"/>
          <w:b/>
          <w:bCs/>
          <w:color w:val="FF0000"/>
          <w:sz w:val="24"/>
          <w:szCs w:val="24"/>
          <w:shd w:val="clear" w:color="auto" w:fill="FFFFFF"/>
        </w:rPr>
        <w:t>16 dicembre 202</w:t>
      </w:r>
      <w:r w:rsidR="00553D0E" w:rsidRPr="00553D0E">
        <w:rPr>
          <w:rFonts w:ascii="Arial" w:hAnsi="Arial" w:cs="Arial"/>
          <w:b/>
          <w:bCs/>
          <w:color w:val="FF0000"/>
          <w:sz w:val="24"/>
          <w:szCs w:val="24"/>
          <w:shd w:val="clear" w:color="auto" w:fill="FFFFFF"/>
        </w:rPr>
        <w:t>2</w:t>
      </w:r>
    </w:p>
    <w:p w14:paraId="41CD9C0B" w14:textId="77777777" w:rsidR="006B6D07" w:rsidRPr="00585A27" w:rsidRDefault="006B6D07" w:rsidP="008635BB">
      <w:pPr>
        <w:rPr>
          <w:rFonts w:ascii="Arial" w:hAnsi="Arial" w:cs="Arial"/>
          <w:b/>
          <w:bCs/>
          <w:color w:val="FF0000"/>
          <w:u w:val="single"/>
          <w:shd w:val="clear" w:color="auto" w:fill="FFFFFF"/>
        </w:rPr>
      </w:pPr>
    </w:p>
    <w:p w14:paraId="514DF86B" w14:textId="6E27F1A4" w:rsidR="00EB02F4" w:rsidRPr="00553D0E" w:rsidRDefault="00553D0E" w:rsidP="00553D0E">
      <w:pPr>
        <w:spacing w:line="240" w:lineRule="auto"/>
        <w:jc w:val="center"/>
        <w:rPr>
          <w:rFonts w:ascii="Arial" w:hAnsi="Arial" w:cs="Arial"/>
          <w:b/>
          <w:bCs/>
          <w:color w:val="1C2024"/>
          <w:sz w:val="24"/>
          <w:szCs w:val="24"/>
          <w:shd w:val="clear" w:color="auto" w:fill="FFFFFF"/>
        </w:rPr>
      </w:pPr>
      <w:r w:rsidRPr="00553D0E">
        <w:rPr>
          <w:rFonts w:ascii="Arial" w:hAnsi="Arial" w:cs="Arial"/>
          <w:b/>
          <w:bCs/>
          <w:color w:val="1C2024"/>
          <w:sz w:val="24"/>
          <w:szCs w:val="24"/>
          <w:shd w:val="clear" w:color="auto" w:fill="FFFFFF"/>
        </w:rPr>
        <w:t>T</w:t>
      </w:r>
      <w:r w:rsidR="009E4921" w:rsidRPr="00553D0E">
        <w:rPr>
          <w:rFonts w:ascii="Arial" w:hAnsi="Arial" w:cs="Arial"/>
          <w:b/>
          <w:bCs/>
          <w:color w:val="1C2024"/>
          <w:sz w:val="24"/>
          <w:szCs w:val="24"/>
          <w:shd w:val="clear" w:color="auto" w:fill="FFFFFF"/>
        </w:rPr>
        <w:t>abella riepilogativa delle aliquote IMU deliberate per l’anno 202</w:t>
      </w:r>
      <w:r w:rsidRPr="00553D0E">
        <w:rPr>
          <w:rFonts w:ascii="Arial" w:hAnsi="Arial" w:cs="Arial"/>
          <w:b/>
          <w:bCs/>
          <w:color w:val="1C2024"/>
          <w:sz w:val="24"/>
          <w:szCs w:val="24"/>
          <w:shd w:val="clear" w:color="auto" w:fill="FFFFFF"/>
        </w:rPr>
        <w:t>2</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5"/>
        <w:gridCol w:w="1358"/>
      </w:tblGrid>
      <w:tr w:rsidR="00F5551B" w:rsidRPr="00585A27" w14:paraId="7E4311E4" w14:textId="77777777" w:rsidTr="00243DAD">
        <w:trPr>
          <w:trHeight w:val="240"/>
          <w:jc w:val="center"/>
        </w:trPr>
        <w:tc>
          <w:tcPr>
            <w:tcW w:w="7855" w:type="dxa"/>
            <w:tcBorders>
              <w:top w:val="single" w:sz="4" w:space="0" w:color="auto"/>
              <w:left w:val="single" w:sz="4" w:space="0" w:color="auto"/>
              <w:bottom w:val="single" w:sz="4" w:space="0" w:color="auto"/>
              <w:right w:val="single" w:sz="4" w:space="0" w:color="auto"/>
            </w:tcBorders>
            <w:hideMark/>
          </w:tcPr>
          <w:p w14:paraId="0525BB4E" w14:textId="77777777" w:rsidR="00F5551B" w:rsidRPr="00585A27" w:rsidRDefault="00F5551B" w:rsidP="00553D0E">
            <w:pPr>
              <w:spacing w:after="40" w:line="240" w:lineRule="auto"/>
              <w:ind w:left="-6"/>
              <w:jc w:val="center"/>
              <w:rPr>
                <w:rFonts w:ascii="Arial" w:hAnsi="Arial" w:cs="Arial"/>
                <w:b/>
                <w:spacing w:val="4"/>
                <w:sz w:val="20"/>
                <w:szCs w:val="20"/>
              </w:rPr>
            </w:pPr>
            <w:r w:rsidRPr="00585A27">
              <w:rPr>
                <w:rFonts w:ascii="Arial" w:hAnsi="Arial" w:cs="Arial"/>
                <w:b/>
                <w:spacing w:val="4"/>
                <w:sz w:val="20"/>
                <w:szCs w:val="20"/>
              </w:rPr>
              <w:t>IMMOBILI</w:t>
            </w:r>
          </w:p>
        </w:tc>
        <w:tc>
          <w:tcPr>
            <w:tcW w:w="1358" w:type="dxa"/>
            <w:tcBorders>
              <w:top w:val="single" w:sz="4" w:space="0" w:color="auto"/>
              <w:left w:val="single" w:sz="4" w:space="0" w:color="auto"/>
              <w:bottom w:val="single" w:sz="4" w:space="0" w:color="auto"/>
              <w:right w:val="single" w:sz="4" w:space="0" w:color="auto"/>
            </w:tcBorders>
            <w:hideMark/>
          </w:tcPr>
          <w:p w14:paraId="138F5F2E" w14:textId="77777777" w:rsidR="00F5551B" w:rsidRPr="00585A27" w:rsidRDefault="00F5551B" w:rsidP="00553D0E">
            <w:pPr>
              <w:spacing w:after="40" w:line="240" w:lineRule="auto"/>
              <w:jc w:val="center"/>
              <w:rPr>
                <w:rFonts w:ascii="Arial" w:hAnsi="Arial" w:cs="Arial"/>
                <w:b/>
                <w:spacing w:val="4"/>
                <w:sz w:val="20"/>
                <w:szCs w:val="20"/>
              </w:rPr>
            </w:pPr>
            <w:r w:rsidRPr="00585A27">
              <w:rPr>
                <w:rFonts w:ascii="Arial" w:hAnsi="Arial" w:cs="Arial"/>
                <w:b/>
                <w:spacing w:val="4"/>
                <w:sz w:val="20"/>
                <w:szCs w:val="20"/>
              </w:rPr>
              <w:t>ALIQUOTA</w:t>
            </w:r>
          </w:p>
        </w:tc>
      </w:tr>
      <w:tr w:rsidR="00F5551B" w:rsidRPr="00585A27" w14:paraId="58E89BB8" w14:textId="77777777" w:rsidTr="00243DAD">
        <w:trPr>
          <w:trHeight w:val="136"/>
          <w:jc w:val="center"/>
        </w:trPr>
        <w:tc>
          <w:tcPr>
            <w:tcW w:w="7855" w:type="dxa"/>
            <w:tcBorders>
              <w:top w:val="single" w:sz="4" w:space="0" w:color="auto"/>
              <w:left w:val="single" w:sz="4" w:space="0" w:color="auto"/>
              <w:bottom w:val="single" w:sz="4" w:space="0" w:color="auto"/>
              <w:right w:val="single" w:sz="4" w:space="0" w:color="auto"/>
            </w:tcBorders>
            <w:hideMark/>
          </w:tcPr>
          <w:p w14:paraId="6E126225" w14:textId="77777777" w:rsidR="00F5551B" w:rsidRPr="00585A27" w:rsidRDefault="00F5551B">
            <w:pPr>
              <w:ind w:left="-6"/>
              <w:jc w:val="both"/>
              <w:rPr>
                <w:rFonts w:ascii="Arial" w:hAnsi="Arial" w:cs="Arial"/>
                <w:b/>
                <w:spacing w:val="4"/>
                <w:sz w:val="20"/>
                <w:szCs w:val="20"/>
              </w:rPr>
            </w:pPr>
            <w:r w:rsidRPr="00585A27">
              <w:rPr>
                <w:rFonts w:ascii="Arial" w:hAnsi="Arial" w:cs="Arial"/>
                <w:b/>
                <w:bCs/>
                <w:sz w:val="20"/>
                <w:szCs w:val="20"/>
              </w:rPr>
              <w:t xml:space="preserve">Abitazione principale classificata nelle categorie A/1, A/8 e A/9 </w:t>
            </w:r>
            <w:r w:rsidRPr="00585A27">
              <w:rPr>
                <w:rFonts w:ascii="Arial" w:hAnsi="Arial" w:cs="Arial"/>
                <w:sz w:val="20"/>
                <w:szCs w:val="20"/>
              </w:rPr>
              <w:t xml:space="preserve">e relative pertinenze (nella misura massima di una unità per ciascuna categoria C/2, C/6 e C/7). Dall'imposta dovuta per l'unità immobiliare adibita ad abitazione principale del soggetto passivo e classificata nelle categorie catastali A/1, A/8 e A/9 nonché per le relative pertinenze si detraggono, fino a concorrenza del suo ammontare, euro 200 rapportati al periodo dell'anno durante il quale si protrae tale destinazione; se l'unità immobiliare è adibita ad abitazione principale da più soggetti passivi, la detrazione spetta a ciascuno di essi proporzionalmente alla quota per la quale la destinazione medesima si verifica. </w:t>
            </w:r>
          </w:p>
        </w:tc>
        <w:tc>
          <w:tcPr>
            <w:tcW w:w="1358" w:type="dxa"/>
            <w:tcBorders>
              <w:top w:val="single" w:sz="4" w:space="0" w:color="auto"/>
              <w:left w:val="single" w:sz="4" w:space="0" w:color="auto"/>
              <w:bottom w:val="single" w:sz="4" w:space="0" w:color="auto"/>
              <w:right w:val="single" w:sz="4" w:space="0" w:color="auto"/>
            </w:tcBorders>
          </w:tcPr>
          <w:p w14:paraId="524C0B45" w14:textId="77777777" w:rsidR="00F5551B" w:rsidRPr="00585A27" w:rsidRDefault="00F5551B">
            <w:pPr>
              <w:spacing w:after="40"/>
              <w:jc w:val="center"/>
              <w:rPr>
                <w:rFonts w:ascii="Arial" w:hAnsi="Arial" w:cs="Arial"/>
                <w:b/>
                <w:spacing w:val="4"/>
                <w:sz w:val="20"/>
                <w:szCs w:val="20"/>
              </w:rPr>
            </w:pPr>
          </w:p>
          <w:p w14:paraId="4A592A36" w14:textId="77777777" w:rsidR="00F5551B" w:rsidRPr="00585A27" w:rsidRDefault="00F5551B">
            <w:pPr>
              <w:spacing w:after="40"/>
              <w:jc w:val="center"/>
              <w:rPr>
                <w:rFonts w:ascii="Arial" w:hAnsi="Arial" w:cs="Arial"/>
                <w:b/>
                <w:spacing w:val="4"/>
                <w:sz w:val="20"/>
                <w:szCs w:val="20"/>
              </w:rPr>
            </w:pPr>
          </w:p>
          <w:p w14:paraId="59B532C8" w14:textId="77777777" w:rsidR="00F5551B" w:rsidRPr="00585A27" w:rsidRDefault="00F5551B">
            <w:pPr>
              <w:spacing w:after="40"/>
              <w:jc w:val="center"/>
              <w:rPr>
                <w:rFonts w:ascii="Arial" w:hAnsi="Arial" w:cs="Arial"/>
                <w:b/>
                <w:spacing w:val="4"/>
                <w:sz w:val="20"/>
                <w:szCs w:val="20"/>
              </w:rPr>
            </w:pPr>
          </w:p>
          <w:p w14:paraId="176A0258" w14:textId="77777777" w:rsidR="00F5551B" w:rsidRPr="00585A27" w:rsidRDefault="00F5551B">
            <w:pPr>
              <w:spacing w:after="40"/>
              <w:jc w:val="center"/>
              <w:rPr>
                <w:rFonts w:ascii="Arial" w:hAnsi="Arial" w:cs="Arial"/>
                <w:b/>
                <w:spacing w:val="4"/>
                <w:sz w:val="20"/>
                <w:szCs w:val="20"/>
              </w:rPr>
            </w:pPr>
            <w:r w:rsidRPr="00585A27">
              <w:rPr>
                <w:rFonts w:ascii="Arial" w:hAnsi="Arial" w:cs="Arial"/>
                <w:b/>
                <w:spacing w:val="4"/>
                <w:sz w:val="20"/>
                <w:szCs w:val="20"/>
              </w:rPr>
              <w:t xml:space="preserve">6,00 </w:t>
            </w:r>
            <w:r w:rsidRPr="00585A27">
              <w:rPr>
                <w:rFonts w:ascii="Arial" w:hAnsi="Arial" w:cs="Arial"/>
                <w:sz w:val="20"/>
                <w:szCs w:val="20"/>
              </w:rPr>
              <w:t>‰</w:t>
            </w:r>
          </w:p>
        </w:tc>
      </w:tr>
      <w:tr w:rsidR="00F5551B" w:rsidRPr="00585A27" w14:paraId="4C681D06" w14:textId="77777777" w:rsidTr="00243DAD">
        <w:trPr>
          <w:trHeight w:val="136"/>
          <w:jc w:val="center"/>
        </w:trPr>
        <w:tc>
          <w:tcPr>
            <w:tcW w:w="7855" w:type="dxa"/>
            <w:tcBorders>
              <w:top w:val="single" w:sz="4" w:space="0" w:color="auto"/>
              <w:left w:val="single" w:sz="4" w:space="0" w:color="auto"/>
              <w:bottom w:val="single" w:sz="4" w:space="0" w:color="auto"/>
              <w:right w:val="single" w:sz="4" w:space="0" w:color="auto"/>
            </w:tcBorders>
            <w:vAlign w:val="center"/>
            <w:hideMark/>
          </w:tcPr>
          <w:p w14:paraId="6EAAD30F" w14:textId="77777777" w:rsidR="00F5551B" w:rsidRPr="00585A27" w:rsidRDefault="00F5551B">
            <w:pPr>
              <w:ind w:left="-6"/>
              <w:jc w:val="both"/>
              <w:rPr>
                <w:rFonts w:ascii="Arial" w:hAnsi="Arial" w:cs="Arial"/>
                <w:b/>
                <w:spacing w:val="4"/>
                <w:sz w:val="20"/>
                <w:szCs w:val="20"/>
              </w:rPr>
            </w:pPr>
            <w:r w:rsidRPr="00585A27">
              <w:rPr>
                <w:rFonts w:ascii="Arial" w:hAnsi="Arial" w:cs="Arial"/>
                <w:b/>
                <w:bCs/>
                <w:sz w:val="20"/>
                <w:szCs w:val="20"/>
              </w:rPr>
              <w:t>alloggi regolarmente assegnati dagli istituti autonomi case popolari (IACP) o dagli enti di edilizia residenziale pubblica</w:t>
            </w:r>
            <w:r w:rsidRPr="00585A27">
              <w:rPr>
                <w:rFonts w:ascii="Arial" w:hAnsi="Arial" w:cs="Arial"/>
                <w:sz w:val="20"/>
                <w:szCs w:val="20"/>
              </w:rPr>
              <w:t>, comunque denominati, aventi le stesse finalità degli IACP, istituiti in attuazione dell’art. 93 del D.P.R. 24.07.1977, n. 616. Dall'imposta dovuta per l'unità immobiliare nonché per le relative pertinenze si detraggono, fino a concorrenza del suo ammontare, euro 200.</w:t>
            </w:r>
          </w:p>
        </w:tc>
        <w:tc>
          <w:tcPr>
            <w:tcW w:w="1358" w:type="dxa"/>
            <w:tcBorders>
              <w:top w:val="single" w:sz="4" w:space="0" w:color="auto"/>
              <w:left w:val="single" w:sz="4" w:space="0" w:color="auto"/>
              <w:bottom w:val="single" w:sz="4" w:space="0" w:color="auto"/>
              <w:right w:val="single" w:sz="4" w:space="0" w:color="auto"/>
            </w:tcBorders>
          </w:tcPr>
          <w:p w14:paraId="2A6FD1E6" w14:textId="77777777" w:rsidR="00F5551B" w:rsidRPr="00585A27" w:rsidRDefault="00F5551B">
            <w:pPr>
              <w:spacing w:after="40"/>
              <w:jc w:val="center"/>
              <w:rPr>
                <w:rFonts w:ascii="Arial" w:hAnsi="Arial" w:cs="Arial"/>
                <w:b/>
                <w:spacing w:val="4"/>
                <w:sz w:val="20"/>
                <w:szCs w:val="20"/>
              </w:rPr>
            </w:pPr>
          </w:p>
          <w:p w14:paraId="1ED42A51" w14:textId="77777777" w:rsidR="00F5551B" w:rsidRPr="00585A27" w:rsidRDefault="00F5551B">
            <w:pPr>
              <w:spacing w:after="40"/>
              <w:jc w:val="center"/>
              <w:rPr>
                <w:rFonts w:ascii="Arial" w:hAnsi="Arial" w:cs="Arial"/>
                <w:b/>
                <w:spacing w:val="4"/>
                <w:sz w:val="20"/>
                <w:szCs w:val="20"/>
              </w:rPr>
            </w:pPr>
            <w:r w:rsidRPr="00585A27">
              <w:rPr>
                <w:rFonts w:ascii="Arial" w:hAnsi="Arial" w:cs="Arial"/>
                <w:b/>
                <w:spacing w:val="4"/>
                <w:sz w:val="20"/>
                <w:szCs w:val="20"/>
              </w:rPr>
              <w:t>5,00</w:t>
            </w:r>
            <w:r w:rsidRPr="00585A27">
              <w:rPr>
                <w:rFonts w:ascii="Arial" w:hAnsi="Arial" w:cs="Arial"/>
                <w:sz w:val="20"/>
                <w:szCs w:val="20"/>
              </w:rPr>
              <w:t>‰</w:t>
            </w:r>
          </w:p>
        </w:tc>
      </w:tr>
      <w:tr w:rsidR="00F5551B" w:rsidRPr="00585A27" w14:paraId="37746B44" w14:textId="77777777" w:rsidTr="00243DAD">
        <w:trPr>
          <w:trHeight w:val="136"/>
          <w:jc w:val="center"/>
        </w:trPr>
        <w:tc>
          <w:tcPr>
            <w:tcW w:w="7855" w:type="dxa"/>
            <w:tcBorders>
              <w:top w:val="single" w:sz="4" w:space="0" w:color="auto"/>
              <w:left w:val="single" w:sz="4" w:space="0" w:color="auto"/>
              <w:bottom w:val="single" w:sz="4" w:space="0" w:color="auto"/>
              <w:right w:val="single" w:sz="4" w:space="0" w:color="auto"/>
            </w:tcBorders>
            <w:hideMark/>
          </w:tcPr>
          <w:p w14:paraId="512E407A" w14:textId="7A49FEA2" w:rsidR="00F5551B" w:rsidRPr="00585A27" w:rsidRDefault="00F5551B">
            <w:pPr>
              <w:spacing w:after="40"/>
              <w:ind w:left="-6"/>
              <w:jc w:val="both"/>
              <w:rPr>
                <w:rFonts w:ascii="Arial" w:hAnsi="Arial" w:cs="Arial"/>
                <w:b/>
                <w:spacing w:val="4"/>
                <w:sz w:val="20"/>
                <w:szCs w:val="20"/>
              </w:rPr>
            </w:pPr>
            <w:r w:rsidRPr="00585A27">
              <w:rPr>
                <w:rFonts w:ascii="Arial" w:hAnsi="Arial" w:cs="Arial"/>
                <w:b/>
                <w:bCs/>
                <w:spacing w:val="4"/>
                <w:sz w:val="20"/>
                <w:szCs w:val="20"/>
              </w:rPr>
              <w:t>fabbricati rurali ad uso strumentale</w:t>
            </w:r>
            <w:r w:rsidRPr="00585A27">
              <w:rPr>
                <w:rFonts w:ascii="Arial" w:hAnsi="Arial" w:cs="Arial"/>
                <w:spacing w:val="4"/>
                <w:sz w:val="20"/>
                <w:szCs w:val="20"/>
              </w:rPr>
              <w:t xml:space="preserve"> di cui all'</w:t>
            </w:r>
            <w:hyperlink r:id="rId5" w:history="1">
              <w:r w:rsidRPr="00585A27">
                <w:rPr>
                  <w:rStyle w:val="Collegamentoipertestuale"/>
                  <w:rFonts w:ascii="Arial" w:hAnsi="Arial" w:cs="Arial"/>
                  <w:spacing w:val="4"/>
                  <w:sz w:val="20"/>
                  <w:szCs w:val="20"/>
                </w:rPr>
                <w:t>articolo 9, comma 3</w:t>
              </w:r>
              <w:r w:rsidRPr="00585A27">
                <w:rPr>
                  <w:rStyle w:val="Collegamentoipertestuale"/>
                  <w:rFonts w:ascii="Arial" w:hAnsi="Arial" w:cs="Arial"/>
                  <w:i/>
                  <w:spacing w:val="4"/>
                  <w:sz w:val="20"/>
                  <w:szCs w:val="20"/>
                </w:rPr>
                <w:t>-bis</w:t>
              </w:r>
              <w:r w:rsidRPr="00585A27">
                <w:rPr>
                  <w:rStyle w:val="Collegamentoipertestuale"/>
                  <w:rFonts w:ascii="Arial" w:hAnsi="Arial" w:cs="Arial"/>
                  <w:spacing w:val="4"/>
                  <w:sz w:val="20"/>
                  <w:szCs w:val="20"/>
                </w:rPr>
                <w:t xml:space="preserve">, del </w:t>
              </w:r>
              <w:r w:rsidR="00553D0E" w:rsidRPr="00585A27">
                <w:rPr>
                  <w:rStyle w:val="Collegamentoipertestuale"/>
                  <w:rFonts w:ascii="Arial" w:hAnsi="Arial" w:cs="Arial"/>
                  <w:spacing w:val="4"/>
                  <w:sz w:val="20"/>
                  <w:szCs w:val="20"/>
                </w:rPr>
                <w:t>decreto-legge</w:t>
              </w:r>
              <w:r w:rsidRPr="00585A27">
                <w:rPr>
                  <w:rStyle w:val="Collegamentoipertestuale"/>
                  <w:rFonts w:ascii="Arial" w:hAnsi="Arial" w:cs="Arial"/>
                  <w:spacing w:val="4"/>
                  <w:sz w:val="20"/>
                  <w:szCs w:val="20"/>
                </w:rPr>
                <w:t xml:space="preserve"> n. 557 del 1993, n. 557</w:t>
              </w:r>
            </w:hyperlink>
          </w:p>
        </w:tc>
        <w:tc>
          <w:tcPr>
            <w:tcW w:w="1358" w:type="dxa"/>
            <w:tcBorders>
              <w:top w:val="single" w:sz="4" w:space="0" w:color="auto"/>
              <w:left w:val="single" w:sz="4" w:space="0" w:color="auto"/>
              <w:bottom w:val="single" w:sz="4" w:space="0" w:color="auto"/>
              <w:right w:val="single" w:sz="4" w:space="0" w:color="auto"/>
            </w:tcBorders>
            <w:hideMark/>
          </w:tcPr>
          <w:p w14:paraId="766C653A" w14:textId="77777777" w:rsidR="00F5551B" w:rsidRPr="00585A27" w:rsidRDefault="00F5551B">
            <w:pPr>
              <w:spacing w:after="40"/>
              <w:jc w:val="center"/>
              <w:rPr>
                <w:rFonts w:ascii="Arial" w:hAnsi="Arial" w:cs="Arial"/>
                <w:b/>
                <w:spacing w:val="4"/>
                <w:sz w:val="20"/>
                <w:szCs w:val="20"/>
              </w:rPr>
            </w:pPr>
            <w:r w:rsidRPr="00585A27">
              <w:rPr>
                <w:rFonts w:ascii="Arial" w:hAnsi="Arial" w:cs="Arial"/>
                <w:b/>
                <w:spacing w:val="4"/>
                <w:sz w:val="20"/>
                <w:szCs w:val="20"/>
              </w:rPr>
              <w:t>0,00</w:t>
            </w:r>
            <w:r w:rsidRPr="00585A27">
              <w:rPr>
                <w:rFonts w:ascii="Arial" w:hAnsi="Arial" w:cs="Arial"/>
                <w:sz w:val="20"/>
                <w:szCs w:val="20"/>
              </w:rPr>
              <w:t>‰</w:t>
            </w:r>
          </w:p>
        </w:tc>
      </w:tr>
      <w:tr w:rsidR="00F5551B" w:rsidRPr="00585A27" w14:paraId="19F7D931" w14:textId="77777777" w:rsidTr="00243DAD">
        <w:trPr>
          <w:trHeight w:val="136"/>
          <w:jc w:val="center"/>
        </w:trPr>
        <w:tc>
          <w:tcPr>
            <w:tcW w:w="7855" w:type="dxa"/>
            <w:tcBorders>
              <w:top w:val="single" w:sz="4" w:space="0" w:color="auto"/>
              <w:left w:val="single" w:sz="4" w:space="0" w:color="auto"/>
              <w:bottom w:val="single" w:sz="4" w:space="0" w:color="auto"/>
              <w:right w:val="single" w:sz="4" w:space="0" w:color="auto"/>
            </w:tcBorders>
            <w:hideMark/>
          </w:tcPr>
          <w:p w14:paraId="0843D9A9" w14:textId="77777777" w:rsidR="00F5551B" w:rsidRPr="00585A27" w:rsidRDefault="00F5551B">
            <w:pPr>
              <w:spacing w:after="40"/>
              <w:ind w:left="-6"/>
              <w:jc w:val="both"/>
              <w:rPr>
                <w:rFonts w:ascii="Arial" w:hAnsi="Arial" w:cs="Arial"/>
                <w:b/>
                <w:spacing w:val="4"/>
                <w:sz w:val="20"/>
                <w:szCs w:val="20"/>
              </w:rPr>
            </w:pPr>
            <w:r w:rsidRPr="00585A27">
              <w:rPr>
                <w:rFonts w:ascii="Arial" w:hAnsi="Arial" w:cs="Arial"/>
                <w:b/>
                <w:bCs/>
                <w:spacing w:val="4"/>
                <w:sz w:val="20"/>
                <w:szCs w:val="20"/>
              </w:rPr>
              <w:t>fabbricati costruiti e destinati dall'impresa costruttrice alla vendita (beni merce)</w:t>
            </w:r>
            <w:r w:rsidRPr="00585A27">
              <w:rPr>
                <w:rFonts w:ascii="Arial" w:hAnsi="Arial" w:cs="Arial"/>
                <w:spacing w:val="4"/>
                <w:sz w:val="20"/>
                <w:szCs w:val="20"/>
              </w:rPr>
              <w:t>, fintanto che permanga tale destinazione e non siano in ogni caso locati</w:t>
            </w:r>
          </w:p>
        </w:tc>
        <w:tc>
          <w:tcPr>
            <w:tcW w:w="1358" w:type="dxa"/>
            <w:tcBorders>
              <w:top w:val="single" w:sz="4" w:space="0" w:color="auto"/>
              <w:left w:val="single" w:sz="4" w:space="0" w:color="auto"/>
              <w:bottom w:val="single" w:sz="4" w:space="0" w:color="auto"/>
              <w:right w:val="single" w:sz="4" w:space="0" w:color="auto"/>
            </w:tcBorders>
            <w:hideMark/>
          </w:tcPr>
          <w:p w14:paraId="2E01E696" w14:textId="77777777" w:rsidR="00F5551B" w:rsidRPr="00585A27" w:rsidRDefault="00F5551B">
            <w:pPr>
              <w:spacing w:after="40"/>
              <w:jc w:val="center"/>
              <w:rPr>
                <w:rFonts w:ascii="Arial" w:hAnsi="Arial" w:cs="Arial"/>
                <w:b/>
                <w:spacing w:val="4"/>
                <w:sz w:val="20"/>
                <w:szCs w:val="20"/>
              </w:rPr>
            </w:pPr>
            <w:r w:rsidRPr="00585A27">
              <w:rPr>
                <w:rFonts w:ascii="Arial" w:hAnsi="Arial" w:cs="Arial"/>
                <w:b/>
                <w:spacing w:val="4"/>
                <w:sz w:val="20"/>
                <w:szCs w:val="20"/>
              </w:rPr>
              <w:t>0,00</w:t>
            </w:r>
            <w:r w:rsidRPr="00585A27">
              <w:rPr>
                <w:rFonts w:ascii="Arial" w:hAnsi="Arial" w:cs="Arial"/>
                <w:sz w:val="20"/>
                <w:szCs w:val="20"/>
              </w:rPr>
              <w:t>‰</w:t>
            </w:r>
          </w:p>
        </w:tc>
      </w:tr>
      <w:tr w:rsidR="00F5551B" w:rsidRPr="00585A27" w14:paraId="7687D685" w14:textId="77777777" w:rsidTr="00243DAD">
        <w:trPr>
          <w:trHeight w:val="151"/>
          <w:jc w:val="center"/>
        </w:trPr>
        <w:tc>
          <w:tcPr>
            <w:tcW w:w="7855" w:type="dxa"/>
            <w:tcBorders>
              <w:top w:val="single" w:sz="4" w:space="0" w:color="auto"/>
              <w:left w:val="single" w:sz="4" w:space="0" w:color="auto"/>
              <w:bottom w:val="single" w:sz="4" w:space="0" w:color="auto"/>
              <w:right w:val="single" w:sz="4" w:space="0" w:color="auto"/>
            </w:tcBorders>
            <w:hideMark/>
          </w:tcPr>
          <w:p w14:paraId="5453F854" w14:textId="77777777" w:rsidR="00F5551B" w:rsidRPr="00585A27" w:rsidRDefault="00F5551B">
            <w:pPr>
              <w:spacing w:after="40"/>
              <w:ind w:left="-6"/>
              <w:jc w:val="both"/>
              <w:rPr>
                <w:rFonts w:ascii="Arial" w:hAnsi="Arial" w:cs="Arial"/>
                <w:b/>
                <w:spacing w:val="4"/>
                <w:sz w:val="20"/>
                <w:szCs w:val="20"/>
              </w:rPr>
            </w:pPr>
            <w:r w:rsidRPr="00585A27">
              <w:rPr>
                <w:rFonts w:ascii="Arial" w:hAnsi="Arial" w:cs="Arial"/>
                <w:b/>
                <w:spacing w:val="4"/>
                <w:sz w:val="20"/>
                <w:szCs w:val="20"/>
              </w:rPr>
              <w:t>Terreni agricoli</w:t>
            </w:r>
          </w:p>
        </w:tc>
        <w:tc>
          <w:tcPr>
            <w:tcW w:w="1358" w:type="dxa"/>
            <w:tcBorders>
              <w:top w:val="single" w:sz="4" w:space="0" w:color="auto"/>
              <w:left w:val="single" w:sz="4" w:space="0" w:color="auto"/>
              <w:bottom w:val="single" w:sz="4" w:space="0" w:color="auto"/>
              <w:right w:val="single" w:sz="4" w:space="0" w:color="auto"/>
            </w:tcBorders>
            <w:hideMark/>
          </w:tcPr>
          <w:p w14:paraId="346A8BF4" w14:textId="77777777" w:rsidR="00F5551B" w:rsidRPr="00585A27" w:rsidRDefault="00F5551B">
            <w:pPr>
              <w:spacing w:after="40"/>
              <w:jc w:val="center"/>
              <w:rPr>
                <w:rFonts w:ascii="Arial" w:hAnsi="Arial" w:cs="Arial"/>
                <w:b/>
                <w:spacing w:val="4"/>
                <w:sz w:val="20"/>
                <w:szCs w:val="20"/>
              </w:rPr>
            </w:pPr>
            <w:r w:rsidRPr="00585A27">
              <w:rPr>
                <w:rFonts w:ascii="Arial" w:hAnsi="Arial" w:cs="Arial"/>
                <w:b/>
                <w:spacing w:val="4"/>
                <w:sz w:val="20"/>
                <w:szCs w:val="20"/>
              </w:rPr>
              <w:t>0,00</w:t>
            </w:r>
            <w:r w:rsidRPr="00585A27">
              <w:rPr>
                <w:rFonts w:ascii="Arial" w:hAnsi="Arial" w:cs="Arial"/>
                <w:sz w:val="20"/>
                <w:szCs w:val="20"/>
              </w:rPr>
              <w:t>‰</w:t>
            </w:r>
          </w:p>
        </w:tc>
      </w:tr>
      <w:tr w:rsidR="00F5551B" w:rsidRPr="00585A27" w14:paraId="47357F93" w14:textId="77777777" w:rsidTr="00243DAD">
        <w:trPr>
          <w:trHeight w:val="83"/>
          <w:jc w:val="center"/>
        </w:trPr>
        <w:tc>
          <w:tcPr>
            <w:tcW w:w="7855" w:type="dxa"/>
            <w:tcBorders>
              <w:top w:val="single" w:sz="4" w:space="0" w:color="auto"/>
              <w:left w:val="single" w:sz="4" w:space="0" w:color="auto"/>
              <w:bottom w:val="single" w:sz="4" w:space="0" w:color="auto"/>
              <w:right w:val="single" w:sz="4" w:space="0" w:color="auto"/>
            </w:tcBorders>
            <w:hideMark/>
          </w:tcPr>
          <w:p w14:paraId="543DA613" w14:textId="77777777" w:rsidR="00F5551B" w:rsidRPr="00585A27" w:rsidRDefault="00F5551B">
            <w:pPr>
              <w:spacing w:after="40"/>
              <w:ind w:left="-6"/>
              <w:jc w:val="both"/>
              <w:rPr>
                <w:rFonts w:ascii="Arial" w:hAnsi="Arial" w:cs="Arial"/>
                <w:b/>
                <w:spacing w:val="4"/>
                <w:sz w:val="20"/>
                <w:szCs w:val="20"/>
              </w:rPr>
            </w:pPr>
            <w:r w:rsidRPr="00585A27">
              <w:rPr>
                <w:rFonts w:ascii="Arial" w:hAnsi="Arial" w:cs="Arial"/>
                <w:b/>
                <w:bCs/>
                <w:spacing w:val="4"/>
                <w:sz w:val="20"/>
                <w:szCs w:val="20"/>
              </w:rPr>
              <w:t>fabbricati diversi da quelli di cui ai punti precedenti</w:t>
            </w:r>
            <w:r w:rsidRPr="00585A27">
              <w:rPr>
                <w:rFonts w:ascii="Arial" w:hAnsi="Arial" w:cs="Arial"/>
                <w:spacing w:val="4"/>
                <w:sz w:val="20"/>
                <w:szCs w:val="20"/>
              </w:rPr>
              <w:t xml:space="preserve"> (non esenti)</w:t>
            </w:r>
          </w:p>
        </w:tc>
        <w:tc>
          <w:tcPr>
            <w:tcW w:w="1358" w:type="dxa"/>
            <w:tcBorders>
              <w:top w:val="single" w:sz="4" w:space="0" w:color="auto"/>
              <w:left w:val="single" w:sz="4" w:space="0" w:color="auto"/>
              <w:bottom w:val="single" w:sz="4" w:space="0" w:color="auto"/>
              <w:right w:val="single" w:sz="4" w:space="0" w:color="auto"/>
            </w:tcBorders>
            <w:hideMark/>
          </w:tcPr>
          <w:p w14:paraId="5C19072F" w14:textId="33248F61" w:rsidR="00F5551B" w:rsidRPr="00585A27" w:rsidRDefault="00553D0E">
            <w:pPr>
              <w:spacing w:after="40" w:line="360" w:lineRule="auto"/>
              <w:jc w:val="center"/>
              <w:rPr>
                <w:rFonts w:ascii="Arial" w:hAnsi="Arial" w:cs="Arial"/>
                <w:b/>
                <w:spacing w:val="4"/>
                <w:sz w:val="20"/>
                <w:szCs w:val="20"/>
              </w:rPr>
            </w:pPr>
            <w:r>
              <w:rPr>
                <w:rFonts w:ascii="Arial" w:hAnsi="Arial" w:cs="Arial"/>
                <w:b/>
                <w:spacing w:val="4"/>
                <w:sz w:val="20"/>
                <w:szCs w:val="20"/>
              </w:rPr>
              <w:t>9</w:t>
            </w:r>
            <w:r w:rsidR="00F5551B" w:rsidRPr="00585A27">
              <w:rPr>
                <w:rFonts w:ascii="Arial" w:hAnsi="Arial" w:cs="Arial"/>
                <w:b/>
                <w:spacing w:val="4"/>
                <w:sz w:val="20"/>
                <w:szCs w:val="20"/>
              </w:rPr>
              <w:t>,60</w:t>
            </w:r>
            <w:r w:rsidR="00F5551B" w:rsidRPr="00585A27">
              <w:rPr>
                <w:rFonts w:ascii="Arial" w:hAnsi="Arial" w:cs="Arial"/>
                <w:sz w:val="20"/>
                <w:szCs w:val="20"/>
              </w:rPr>
              <w:t>‰</w:t>
            </w:r>
          </w:p>
        </w:tc>
      </w:tr>
      <w:tr w:rsidR="00F5551B" w:rsidRPr="00585A27" w14:paraId="60D2B58C" w14:textId="77777777" w:rsidTr="00243DAD">
        <w:trPr>
          <w:trHeight w:val="180"/>
          <w:jc w:val="center"/>
        </w:trPr>
        <w:tc>
          <w:tcPr>
            <w:tcW w:w="7855" w:type="dxa"/>
            <w:tcBorders>
              <w:top w:val="single" w:sz="4" w:space="0" w:color="auto"/>
              <w:left w:val="single" w:sz="4" w:space="0" w:color="auto"/>
              <w:bottom w:val="single" w:sz="4" w:space="0" w:color="auto"/>
              <w:right w:val="single" w:sz="4" w:space="0" w:color="auto"/>
            </w:tcBorders>
            <w:hideMark/>
          </w:tcPr>
          <w:p w14:paraId="6A6BFAA6" w14:textId="77777777" w:rsidR="00F5551B" w:rsidRPr="00585A27" w:rsidRDefault="00F5551B">
            <w:pPr>
              <w:spacing w:after="40"/>
              <w:ind w:left="-6"/>
              <w:jc w:val="both"/>
              <w:rPr>
                <w:rFonts w:ascii="Arial" w:hAnsi="Arial" w:cs="Arial"/>
                <w:b/>
                <w:spacing w:val="4"/>
                <w:sz w:val="20"/>
                <w:szCs w:val="20"/>
              </w:rPr>
            </w:pPr>
            <w:r w:rsidRPr="00585A27">
              <w:rPr>
                <w:rFonts w:ascii="Arial" w:hAnsi="Arial" w:cs="Arial"/>
                <w:b/>
                <w:spacing w:val="4"/>
                <w:sz w:val="20"/>
                <w:szCs w:val="20"/>
              </w:rPr>
              <w:t>Aree fabbricabili</w:t>
            </w:r>
          </w:p>
        </w:tc>
        <w:tc>
          <w:tcPr>
            <w:tcW w:w="1358" w:type="dxa"/>
            <w:tcBorders>
              <w:top w:val="single" w:sz="4" w:space="0" w:color="auto"/>
              <w:left w:val="single" w:sz="4" w:space="0" w:color="auto"/>
              <w:bottom w:val="single" w:sz="4" w:space="0" w:color="auto"/>
              <w:right w:val="single" w:sz="4" w:space="0" w:color="auto"/>
            </w:tcBorders>
            <w:hideMark/>
          </w:tcPr>
          <w:p w14:paraId="4B7BA0C0" w14:textId="5A5B162E" w:rsidR="00F5551B" w:rsidRPr="00585A27" w:rsidRDefault="00553D0E">
            <w:pPr>
              <w:spacing w:after="40"/>
              <w:jc w:val="center"/>
              <w:rPr>
                <w:rFonts w:ascii="Arial" w:hAnsi="Arial" w:cs="Arial"/>
                <w:b/>
                <w:spacing w:val="4"/>
                <w:sz w:val="20"/>
                <w:szCs w:val="20"/>
              </w:rPr>
            </w:pPr>
            <w:r>
              <w:rPr>
                <w:rFonts w:ascii="Arial" w:hAnsi="Arial" w:cs="Arial"/>
                <w:b/>
                <w:spacing w:val="4"/>
                <w:sz w:val="20"/>
                <w:szCs w:val="20"/>
              </w:rPr>
              <w:t>9</w:t>
            </w:r>
            <w:r w:rsidR="00F5551B" w:rsidRPr="00585A27">
              <w:rPr>
                <w:rFonts w:ascii="Arial" w:hAnsi="Arial" w:cs="Arial"/>
                <w:b/>
                <w:spacing w:val="4"/>
                <w:sz w:val="20"/>
                <w:szCs w:val="20"/>
              </w:rPr>
              <w:t>,60</w:t>
            </w:r>
            <w:r w:rsidR="00F5551B" w:rsidRPr="00585A27">
              <w:rPr>
                <w:rFonts w:ascii="Arial" w:hAnsi="Arial" w:cs="Arial"/>
                <w:sz w:val="20"/>
                <w:szCs w:val="20"/>
              </w:rPr>
              <w:t>‰</w:t>
            </w:r>
          </w:p>
        </w:tc>
      </w:tr>
    </w:tbl>
    <w:p w14:paraId="318BED3E" w14:textId="38E2CEBE" w:rsidR="00F3365C" w:rsidRPr="00585A27" w:rsidRDefault="00F3365C" w:rsidP="00F3365C">
      <w:pPr>
        <w:rPr>
          <w:rFonts w:ascii="Arial" w:hAnsi="Arial" w:cs="Arial"/>
          <w:color w:val="1C2024"/>
          <w:sz w:val="27"/>
          <w:szCs w:val="27"/>
          <w:shd w:val="clear" w:color="auto" w:fill="FFFFFF"/>
        </w:rPr>
      </w:pPr>
    </w:p>
    <w:p w14:paraId="51CCD77F" w14:textId="1B94E89E" w:rsidR="00D53528" w:rsidRDefault="00660410">
      <w:r w:rsidRPr="00585A27">
        <w:rPr>
          <w:rFonts w:ascii="Arial" w:hAnsi="Arial" w:cs="Arial"/>
          <w:color w:val="1C2024"/>
          <w:sz w:val="27"/>
          <w:szCs w:val="27"/>
        </w:rPr>
        <w:br/>
      </w:r>
    </w:p>
    <w:sectPr w:rsidR="00D535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3B09"/>
    <w:multiLevelType w:val="hybridMultilevel"/>
    <w:tmpl w:val="FE4C42C2"/>
    <w:lvl w:ilvl="0" w:tplc="C7F82B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237598"/>
    <w:multiLevelType w:val="hybridMultilevel"/>
    <w:tmpl w:val="38F459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591006"/>
    <w:multiLevelType w:val="hybridMultilevel"/>
    <w:tmpl w:val="D9204466"/>
    <w:lvl w:ilvl="0" w:tplc="C7F82B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3B1C2A"/>
    <w:multiLevelType w:val="hybridMultilevel"/>
    <w:tmpl w:val="7BB8CB32"/>
    <w:lvl w:ilvl="0" w:tplc="4D24CD06">
      <w:numFmt w:val="bullet"/>
      <w:lvlText w:val="-"/>
      <w:lvlJc w:val="left"/>
      <w:pPr>
        <w:ind w:left="714" w:hanging="360"/>
      </w:pPr>
      <w:rPr>
        <w:rFonts w:ascii="Garamond" w:eastAsia="Times New Roman" w:hAnsi="Garamond" w:cs="Times New Roman" w:hint="default"/>
      </w:rPr>
    </w:lvl>
    <w:lvl w:ilvl="1" w:tplc="04100003">
      <w:start w:val="1"/>
      <w:numFmt w:val="bullet"/>
      <w:lvlText w:val="o"/>
      <w:lvlJc w:val="left"/>
      <w:pPr>
        <w:ind w:left="1434" w:hanging="360"/>
      </w:pPr>
      <w:rPr>
        <w:rFonts w:ascii="Courier New" w:hAnsi="Courier New" w:cs="Courier New" w:hint="default"/>
      </w:rPr>
    </w:lvl>
    <w:lvl w:ilvl="2" w:tplc="04100005">
      <w:start w:val="1"/>
      <w:numFmt w:val="bullet"/>
      <w:lvlText w:val=""/>
      <w:lvlJc w:val="left"/>
      <w:pPr>
        <w:ind w:left="2154" w:hanging="360"/>
      </w:pPr>
      <w:rPr>
        <w:rFonts w:ascii="Wingdings" w:hAnsi="Wingdings" w:hint="default"/>
      </w:rPr>
    </w:lvl>
    <w:lvl w:ilvl="3" w:tplc="04100001">
      <w:start w:val="1"/>
      <w:numFmt w:val="bullet"/>
      <w:lvlText w:val=""/>
      <w:lvlJc w:val="left"/>
      <w:pPr>
        <w:ind w:left="2874" w:hanging="360"/>
      </w:pPr>
      <w:rPr>
        <w:rFonts w:ascii="Symbol" w:hAnsi="Symbol" w:hint="default"/>
      </w:rPr>
    </w:lvl>
    <w:lvl w:ilvl="4" w:tplc="04100003">
      <w:start w:val="1"/>
      <w:numFmt w:val="bullet"/>
      <w:lvlText w:val="o"/>
      <w:lvlJc w:val="left"/>
      <w:pPr>
        <w:ind w:left="3594" w:hanging="360"/>
      </w:pPr>
      <w:rPr>
        <w:rFonts w:ascii="Courier New" w:hAnsi="Courier New" w:cs="Courier New" w:hint="default"/>
      </w:rPr>
    </w:lvl>
    <w:lvl w:ilvl="5" w:tplc="04100005">
      <w:start w:val="1"/>
      <w:numFmt w:val="bullet"/>
      <w:lvlText w:val=""/>
      <w:lvlJc w:val="left"/>
      <w:pPr>
        <w:ind w:left="4314" w:hanging="360"/>
      </w:pPr>
      <w:rPr>
        <w:rFonts w:ascii="Wingdings" w:hAnsi="Wingdings" w:hint="default"/>
      </w:rPr>
    </w:lvl>
    <w:lvl w:ilvl="6" w:tplc="04100001">
      <w:start w:val="1"/>
      <w:numFmt w:val="bullet"/>
      <w:lvlText w:val=""/>
      <w:lvlJc w:val="left"/>
      <w:pPr>
        <w:ind w:left="5034" w:hanging="360"/>
      </w:pPr>
      <w:rPr>
        <w:rFonts w:ascii="Symbol" w:hAnsi="Symbol" w:hint="default"/>
      </w:rPr>
    </w:lvl>
    <w:lvl w:ilvl="7" w:tplc="04100003">
      <w:start w:val="1"/>
      <w:numFmt w:val="bullet"/>
      <w:lvlText w:val="o"/>
      <w:lvlJc w:val="left"/>
      <w:pPr>
        <w:ind w:left="5754" w:hanging="360"/>
      </w:pPr>
      <w:rPr>
        <w:rFonts w:ascii="Courier New" w:hAnsi="Courier New" w:cs="Courier New" w:hint="default"/>
      </w:rPr>
    </w:lvl>
    <w:lvl w:ilvl="8" w:tplc="04100005">
      <w:start w:val="1"/>
      <w:numFmt w:val="bullet"/>
      <w:lvlText w:val=""/>
      <w:lvlJc w:val="left"/>
      <w:pPr>
        <w:ind w:left="6474" w:hanging="360"/>
      </w:pPr>
      <w:rPr>
        <w:rFonts w:ascii="Wingdings" w:hAnsi="Wingdings" w:hint="default"/>
      </w:rPr>
    </w:lvl>
  </w:abstractNum>
  <w:abstractNum w:abstractNumId="4" w15:restartNumberingAfterBreak="0">
    <w:nsid w:val="7E2B1793"/>
    <w:multiLevelType w:val="hybridMultilevel"/>
    <w:tmpl w:val="483E0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03654642">
    <w:abstractNumId w:val="4"/>
  </w:num>
  <w:num w:numId="2" w16cid:durableId="990595294">
    <w:abstractNumId w:val="1"/>
  </w:num>
  <w:num w:numId="3" w16cid:durableId="466358655">
    <w:abstractNumId w:val="0"/>
  </w:num>
  <w:num w:numId="4" w16cid:durableId="1181239835">
    <w:abstractNumId w:val="2"/>
  </w:num>
  <w:num w:numId="5" w16cid:durableId="1915627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85"/>
    <w:rsid w:val="00033B37"/>
    <w:rsid w:val="00243DAD"/>
    <w:rsid w:val="00275A33"/>
    <w:rsid w:val="003349A6"/>
    <w:rsid w:val="00395654"/>
    <w:rsid w:val="003E707D"/>
    <w:rsid w:val="004A15C5"/>
    <w:rsid w:val="00553D0E"/>
    <w:rsid w:val="00585A27"/>
    <w:rsid w:val="00652AF1"/>
    <w:rsid w:val="00660410"/>
    <w:rsid w:val="006B6D07"/>
    <w:rsid w:val="0072449D"/>
    <w:rsid w:val="00731185"/>
    <w:rsid w:val="007826B2"/>
    <w:rsid w:val="008415E8"/>
    <w:rsid w:val="008635BB"/>
    <w:rsid w:val="00906E93"/>
    <w:rsid w:val="009E4921"/>
    <w:rsid w:val="00A46C6D"/>
    <w:rsid w:val="00A91193"/>
    <w:rsid w:val="00A94B0C"/>
    <w:rsid w:val="00B337C2"/>
    <w:rsid w:val="00BB1666"/>
    <w:rsid w:val="00C06451"/>
    <w:rsid w:val="00D53528"/>
    <w:rsid w:val="00EB02F4"/>
    <w:rsid w:val="00F3365C"/>
    <w:rsid w:val="00F5551B"/>
    <w:rsid w:val="00FA2873"/>
    <w:rsid w:val="00FC0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2A07"/>
  <w15:chartTrackingRefBased/>
  <w15:docId w15:val="{BE8E5AF3-6D22-44C9-9608-ECB143CC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60410"/>
    <w:rPr>
      <w:b/>
      <w:bCs/>
    </w:rPr>
  </w:style>
  <w:style w:type="character" w:styleId="Collegamentoipertestuale">
    <w:name w:val="Hyperlink"/>
    <w:basedOn w:val="Carpredefinitoparagrafo"/>
    <w:uiPriority w:val="99"/>
    <w:unhideWhenUsed/>
    <w:rsid w:val="00660410"/>
    <w:rPr>
      <w:color w:val="0000FF"/>
      <w:u w:val="single"/>
    </w:rPr>
  </w:style>
  <w:style w:type="paragraph" w:styleId="Paragrafoelenco">
    <w:name w:val="List Paragraph"/>
    <w:basedOn w:val="Normale"/>
    <w:uiPriority w:val="1"/>
    <w:qFormat/>
    <w:rsid w:val="00F3365C"/>
    <w:pPr>
      <w:ind w:left="720"/>
      <w:contextualSpacing/>
    </w:pPr>
  </w:style>
  <w:style w:type="character" w:styleId="Menzionenonrisolta">
    <w:name w:val="Unresolved Mention"/>
    <w:basedOn w:val="Carpredefinitoparagrafo"/>
    <w:uiPriority w:val="99"/>
    <w:semiHidden/>
    <w:unhideWhenUsed/>
    <w:rsid w:val="00F3365C"/>
    <w:rPr>
      <w:color w:val="605E5C"/>
      <w:shd w:val="clear" w:color="auto" w:fill="E1DFDD"/>
    </w:rPr>
  </w:style>
  <w:style w:type="paragraph" w:customStyle="1" w:styleId="Default">
    <w:name w:val="Default"/>
    <w:uiPriority w:val="99"/>
    <w:rsid w:val="00F5551B"/>
    <w:pPr>
      <w:widowControl w:val="0"/>
      <w:suppressAutoHyphens/>
      <w:autoSpaceDE w:val="0"/>
      <w:spacing w:after="0" w:line="240" w:lineRule="auto"/>
    </w:pPr>
    <w:rPr>
      <w:rFonts w:ascii="Bookman Old Style" w:eastAsia="Times New Roman" w:hAnsi="Bookman Old Style" w:cs="Bookman Old Style"/>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0421">
      <w:bodyDiv w:val="1"/>
      <w:marLeft w:val="0"/>
      <w:marRight w:val="0"/>
      <w:marTop w:val="0"/>
      <w:marBottom w:val="0"/>
      <w:divBdr>
        <w:top w:val="none" w:sz="0" w:space="0" w:color="auto"/>
        <w:left w:val="none" w:sz="0" w:space="0" w:color="auto"/>
        <w:bottom w:val="none" w:sz="0" w:space="0" w:color="auto"/>
        <w:right w:val="none" w:sz="0" w:space="0" w:color="auto"/>
      </w:divBdr>
    </w:div>
    <w:div w:id="758062076">
      <w:bodyDiv w:val="1"/>
      <w:marLeft w:val="0"/>
      <w:marRight w:val="0"/>
      <w:marTop w:val="0"/>
      <w:marBottom w:val="0"/>
      <w:divBdr>
        <w:top w:val="none" w:sz="0" w:space="0" w:color="auto"/>
        <w:left w:val="none" w:sz="0" w:space="0" w:color="auto"/>
        <w:bottom w:val="none" w:sz="0" w:space="0" w:color="auto"/>
        <w:right w:val="none" w:sz="0" w:space="0" w:color="auto"/>
      </w:divBdr>
    </w:div>
    <w:div w:id="1016738128">
      <w:bodyDiv w:val="1"/>
      <w:marLeft w:val="0"/>
      <w:marRight w:val="0"/>
      <w:marTop w:val="0"/>
      <w:marBottom w:val="0"/>
      <w:divBdr>
        <w:top w:val="none" w:sz="0" w:space="0" w:color="auto"/>
        <w:left w:val="none" w:sz="0" w:space="0" w:color="auto"/>
        <w:bottom w:val="none" w:sz="0" w:space="0" w:color="auto"/>
        <w:right w:val="none" w:sz="0" w:space="0" w:color="auto"/>
      </w:divBdr>
      <w:divsChild>
        <w:div w:id="1104838358">
          <w:marLeft w:val="0"/>
          <w:marRight w:val="0"/>
          <w:marTop w:val="0"/>
          <w:marBottom w:val="0"/>
          <w:divBdr>
            <w:top w:val="none" w:sz="0" w:space="8" w:color="337AB7"/>
            <w:left w:val="none" w:sz="0" w:space="11" w:color="337AB7"/>
            <w:bottom w:val="none" w:sz="0" w:space="0" w:color="auto"/>
            <w:right w:val="none" w:sz="0" w:space="11" w:color="337AB7"/>
          </w:divBdr>
        </w:div>
        <w:div w:id="674964938">
          <w:marLeft w:val="0"/>
          <w:marRight w:val="0"/>
          <w:marTop w:val="0"/>
          <w:marBottom w:val="0"/>
          <w:divBdr>
            <w:top w:val="none" w:sz="0" w:space="0" w:color="auto"/>
            <w:left w:val="none" w:sz="0" w:space="0" w:color="auto"/>
            <w:bottom w:val="none" w:sz="0" w:space="0" w:color="auto"/>
            <w:right w:val="none" w:sz="0" w:space="0" w:color="auto"/>
          </w:divBdr>
        </w:div>
      </w:divsChild>
    </w:div>
    <w:div w:id="15059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d01.leggiditalia.it/cgi-bin/FulShow?TIPO=5&amp;NOTXT=1&amp;KEY=01LX0000100790ART10"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1819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Riili</dc:creator>
  <cp:keywords/>
  <dc:description/>
  <cp:lastModifiedBy>Paolo Riili</cp:lastModifiedBy>
  <cp:revision>4</cp:revision>
  <dcterms:created xsi:type="dcterms:W3CDTF">2022-11-21T08:57:00Z</dcterms:created>
  <dcterms:modified xsi:type="dcterms:W3CDTF">2022-11-21T09:28:00Z</dcterms:modified>
</cp:coreProperties>
</file>